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0362B0A7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A63FCE">
        <w:rPr>
          <w:rFonts w:cstheme="minorHAnsi"/>
          <w:szCs w:val="24"/>
        </w:rPr>
        <w:t>11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63A283E2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A63FCE">
        <w:rPr>
          <w:rFonts w:cstheme="minorHAnsi"/>
          <w:b/>
          <w:sz w:val="24"/>
          <w:szCs w:val="24"/>
        </w:rPr>
        <w:t>11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2021, </w:t>
      </w:r>
      <w:r w:rsidR="00787FCA">
        <w:rPr>
          <w:rFonts w:cstheme="minorHAnsi"/>
          <w:b/>
          <w:sz w:val="24"/>
          <w:szCs w:val="24"/>
        </w:rPr>
        <w:t>plus de 2 671 000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BF31A4">
        <w:rPr>
          <w:rFonts w:cstheme="minorHAnsi"/>
          <w:b/>
          <w:sz w:val="24"/>
          <w:szCs w:val="24"/>
        </w:rPr>
        <w:t>vaccinations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35F74CCD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787FCA" w:rsidRPr="00787FCA">
        <w:rPr>
          <w:rFonts w:cstheme="minorHAnsi"/>
          <w:bCs/>
          <w:sz w:val="24"/>
          <w:szCs w:val="24"/>
        </w:rPr>
        <w:t>2 135</w:t>
      </w:r>
      <w:r w:rsidR="00787FCA">
        <w:rPr>
          <w:rFonts w:cstheme="minorHAnsi"/>
          <w:bCs/>
          <w:sz w:val="24"/>
          <w:szCs w:val="24"/>
        </w:rPr>
        <w:t> </w:t>
      </w:r>
      <w:r w:rsidR="00787FCA" w:rsidRPr="00787FCA">
        <w:rPr>
          <w:rFonts w:cstheme="minorHAnsi"/>
          <w:bCs/>
          <w:sz w:val="24"/>
          <w:szCs w:val="24"/>
        </w:rPr>
        <w:t>333</w:t>
      </w:r>
      <w:r w:rsidR="00787FCA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787FCA" w:rsidRPr="00787FCA">
        <w:rPr>
          <w:rFonts w:cstheme="minorHAnsi"/>
          <w:bCs/>
          <w:sz w:val="24"/>
          <w:szCs w:val="24"/>
        </w:rPr>
        <w:t>3,</w:t>
      </w:r>
      <w:r w:rsidR="00787FCA">
        <w:rPr>
          <w:rFonts w:cstheme="minorHAnsi"/>
          <w:bCs/>
          <w:sz w:val="24"/>
          <w:szCs w:val="24"/>
        </w:rPr>
        <w:t>2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</w:t>
      </w:r>
      <w:r w:rsidR="00787FCA" w:rsidRPr="00787FCA">
        <w:rPr>
          <w:rFonts w:cstheme="minorHAnsi"/>
          <w:bCs/>
          <w:sz w:val="24"/>
          <w:szCs w:val="24"/>
        </w:rPr>
        <w:t>4</w:t>
      </w:r>
      <w:r w:rsidR="00E269FC">
        <w:rPr>
          <w:rFonts w:cstheme="minorHAnsi"/>
          <w:bCs/>
          <w:sz w:val="24"/>
          <w:szCs w:val="24"/>
        </w:rPr>
        <w:t>,0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787FCA" w:rsidRPr="00787FCA">
        <w:rPr>
          <w:rFonts w:cstheme="minorHAnsi"/>
          <w:bCs/>
          <w:sz w:val="24"/>
          <w:szCs w:val="24"/>
        </w:rPr>
        <w:t>535 775</w:t>
      </w:r>
      <w:r w:rsidR="0033187F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CF6F9C" w:rsidRPr="00CF6F9C" w14:paraId="7F092677" w14:textId="77777777" w:rsidTr="0051425D">
        <w:tc>
          <w:tcPr>
            <w:tcW w:w="1838" w:type="dxa"/>
          </w:tcPr>
          <w:p w14:paraId="60654AE1" w14:textId="67F19389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72569688" w:rsidR="00CF6F9C" w:rsidRPr="002E099D" w:rsidRDefault="00787FCA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87FCA">
              <w:rPr>
                <w:rFonts w:cstheme="minorHAnsi"/>
                <w:bCs/>
                <w:sz w:val="24"/>
                <w:szCs w:val="24"/>
              </w:rPr>
              <w:t>78 761</w:t>
            </w:r>
          </w:p>
        </w:tc>
        <w:tc>
          <w:tcPr>
            <w:tcW w:w="2408" w:type="dxa"/>
          </w:tcPr>
          <w:p w14:paraId="14E4821A" w14:textId="2350689E" w:rsidR="008F091F" w:rsidRPr="002E099D" w:rsidRDefault="00874F4F" w:rsidP="008F091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587 399</w:t>
            </w:r>
          </w:p>
        </w:tc>
        <w:tc>
          <w:tcPr>
            <w:tcW w:w="2408" w:type="dxa"/>
          </w:tcPr>
          <w:p w14:paraId="1D5FCB5B" w14:textId="604794B6" w:rsidR="00CF6F9C" w:rsidRPr="002E099D" w:rsidRDefault="00787FCA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87FCA">
              <w:rPr>
                <w:rFonts w:cstheme="minorHAnsi"/>
                <w:bCs/>
                <w:sz w:val="24"/>
                <w:szCs w:val="24"/>
              </w:rPr>
              <w:t>2 135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787FCA">
              <w:rPr>
                <w:rFonts w:cstheme="minorHAnsi"/>
                <w:bCs/>
                <w:sz w:val="24"/>
                <w:szCs w:val="24"/>
              </w:rPr>
              <w:t>333</w:t>
            </w:r>
          </w:p>
        </w:tc>
      </w:tr>
      <w:tr w:rsidR="00CF6F9C" w:rsidRPr="00CF6F9C" w14:paraId="7AFA91C4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2B7ED9A0" w:rsidR="00CF6F9C" w:rsidRPr="002E099D" w:rsidRDefault="00787FCA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87FCA">
              <w:rPr>
                <w:rFonts w:cstheme="minorHAnsi"/>
                <w:bCs/>
                <w:sz w:val="24"/>
                <w:szCs w:val="24"/>
              </w:rPr>
              <w:t>92 627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777D19" w14:textId="0BD9D39E" w:rsidR="00CF6F9C" w:rsidRPr="002E099D" w:rsidRDefault="008F091F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480 344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50AB507A" w:rsidR="00CF6F9C" w:rsidRPr="002E099D" w:rsidRDefault="008D431E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87FCA">
              <w:rPr>
                <w:rFonts w:cstheme="minorHAnsi"/>
                <w:bCs/>
                <w:sz w:val="24"/>
                <w:szCs w:val="24"/>
              </w:rPr>
              <w:t>535 775</w:t>
            </w:r>
          </w:p>
        </w:tc>
      </w:tr>
      <w:tr w:rsidR="00CF6F9C" w:rsidRPr="00CF6F9C" w14:paraId="212A4B16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0987E70E" w:rsidR="00CF6F9C" w:rsidRPr="002E099D" w:rsidRDefault="00787FCA" w:rsidP="00CF6F9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171 388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DD162D" w14:textId="025960B3" w:rsidR="00CF6F9C" w:rsidRPr="002E099D" w:rsidRDefault="008D431E" w:rsidP="00CF6F9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76E2A">
              <w:rPr>
                <w:b/>
                <w:bCs/>
                <w:sz w:val="24"/>
                <w:szCs w:val="24"/>
              </w:rPr>
              <w:t> 067 743</w:t>
            </w:r>
            <w:bookmarkStart w:id="0" w:name="_GoBack"/>
            <w:bookmarkEnd w:id="0"/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2299A8FB" w:rsidR="00CF6F9C" w:rsidRPr="002E099D" w:rsidRDefault="008D431E" w:rsidP="00946F8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2 671 108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7BCEBD96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A63FCE">
        <w:rPr>
          <w:rFonts w:cstheme="minorHAnsi"/>
          <w:bCs/>
          <w:sz w:val="24"/>
          <w:szCs w:val="24"/>
        </w:rPr>
        <w:t>10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14:paraId="30AF0ABA" w14:textId="77777777" w:rsidTr="00F91B4B">
        <w:tc>
          <w:tcPr>
            <w:tcW w:w="3397" w:type="dxa"/>
          </w:tcPr>
          <w:p w14:paraId="20A7AB3C" w14:textId="06AABAE9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221A133C" w:rsidR="0055281B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39,7%</w:t>
            </w:r>
          </w:p>
        </w:tc>
      </w:tr>
      <w:tr w:rsidR="0055281B" w14:paraId="665F3A4A" w14:textId="77777777" w:rsidTr="00F91B4B">
        <w:tc>
          <w:tcPr>
            <w:tcW w:w="3397" w:type="dxa"/>
          </w:tcPr>
          <w:p w14:paraId="463B478E" w14:textId="0053180B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5DBE871A" w:rsidR="0055281B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60,2%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:rsidRPr="00C30F29" w14:paraId="7E6306DA" w14:textId="77777777" w:rsidTr="00436192">
        <w:tc>
          <w:tcPr>
            <w:tcW w:w="3397" w:type="dxa"/>
          </w:tcPr>
          <w:p w14:paraId="34905677" w14:textId="79E95428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35F8CB1F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0,4%</w:t>
            </w:r>
          </w:p>
        </w:tc>
      </w:tr>
      <w:tr w:rsidR="0055281B" w:rsidRPr="00C30F29" w14:paraId="7E8D1372" w14:textId="77777777" w:rsidTr="00436192">
        <w:tc>
          <w:tcPr>
            <w:tcW w:w="3397" w:type="dxa"/>
          </w:tcPr>
          <w:p w14:paraId="380AC937" w14:textId="5812ADD8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2B422AFC" w:rsidR="0055281B" w:rsidRPr="00C30F29" w:rsidRDefault="00D90BE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1,0</w:t>
            </w:r>
            <w:r w:rsidR="0055281B" w:rsidRPr="0055281B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:rsidRPr="00C30F29" w14:paraId="50BD63E2" w14:textId="77777777" w:rsidTr="00436192">
        <w:tc>
          <w:tcPr>
            <w:tcW w:w="3397" w:type="dxa"/>
          </w:tcPr>
          <w:p w14:paraId="052FE8B0" w14:textId="4C8EAC89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395A5446" w:rsidR="0055281B" w:rsidRPr="00C30F29" w:rsidRDefault="00D90BE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3,1</w:t>
            </w:r>
            <w:r w:rsidR="0055281B" w:rsidRPr="0055281B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:rsidRPr="00C30F29" w14:paraId="06102D8A" w14:textId="77777777" w:rsidTr="00436192">
        <w:tc>
          <w:tcPr>
            <w:tcW w:w="3397" w:type="dxa"/>
          </w:tcPr>
          <w:p w14:paraId="0CADAEA5" w14:textId="46C3E815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46BDCC5A" w:rsidR="0055281B" w:rsidRPr="00C30F29" w:rsidRDefault="00D90BE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5,1</w:t>
            </w:r>
            <w:r w:rsidR="0055281B" w:rsidRPr="0055281B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:rsidRPr="00C30F29" w14:paraId="0C1B4463" w14:textId="77777777" w:rsidTr="00436192">
        <w:tc>
          <w:tcPr>
            <w:tcW w:w="3397" w:type="dxa"/>
          </w:tcPr>
          <w:p w14:paraId="35AFAD92" w14:textId="20CDA55C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02C4C5BB" w:rsidR="0055281B" w:rsidRPr="00C30F29" w:rsidRDefault="00D90BE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13,8</w:t>
            </w:r>
            <w:r w:rsidR="0055281B" w:rsidRPr="0055281B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:rsidRPr="00C30F29" w14:paraId="5A9CCDB4" w14:textId="77777777" w:rsidTr="00436192">
        <w:tc>
          <w:tcPr>
            <w:tcW w:w="3397" w:type="dxa"/>
          </w:tcPr>
          <w:p w14:paraId="0D1B3D5E" w14:textId="453562F7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586E10A9" w:rsidR="0055281B" w:rsidRPr="00C30F29" w:rsidRDefault="00D90BE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6,0</w:t>
            </w:r>
            <w:r w:rsidR="0055281B" w:rsidRPr="0055281B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:rsidRPr="00C30F29" w14:paraId="2C1A8FB7" w14:textId="77777777" w:rsidTr="00436192">
        <w:tc>
          <w:tcPr>
            <w:tcW w:w="3397" w:type="dxa"/>
          </w:tcPr>
          <w:p w14:paraId="4C8C669B" w14:textId="557BE17D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1A5487AF" w:rsidR="0055281B" w:rsidRPr="00C30F29" w:rsidRDefault="00D90BE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4,1</w:t>
            </w:r>
            <w:r w:rsidR="0055281B" w:rsidRPr="0055281B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:rsidRPr="00C30F29" w14:paraId="1AEFDAB2" w14:textId="77777777" w:rsidTr="00436192">
        <w:tc>
          <w:tcPr>
            <w:tcW w:w="3397" w:type="dxa"/>
          </w:tcPr>
          <w:p w14:paraId="12081821" w14:textId="230748F7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2E81807B" w:rsidR="0055281B" w:rsidRPr="00C30F29" w:rsidRDefault="00D90BE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4,9</w:t>
            </w:r>
            <w:r w:rsidR="0055281B" w:rsidRPr="0055281B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55281B" w:rsidRPr="00C30F29" w14:paraId="17D7765E" w14:textId="77777777" w:rsidTr="00436192">
        <w:tc>
          <w:tcPr>
            <w:tcW w:w="3397" w:type="dxa"/>
          </w:tcPr>
          <w:p w14:paraId="7EA5A05F" w14:textId="48087722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4014EB6C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19,1%</w:t>
            </w:r>
          </w:p>
        </w:tc>
      </w:tr>
      <w:tr w:rsidR="0055281B" w:rsidRPr="00C30F29" w14:paraId="6854588E" w14:textId="77777777" w:rsidTr="00436192">
        <w:tc>
          <w:tcPr>
            <w:tcW w:w="3397" w:type="dxa"/>
          </w:tcPr>
          <w:p w14:paraId="3FE4BCD4" w14:textId="53FA8900" w:rsidR="0055281B" w:rsidRPr="00C30F29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5B30CED3" w:rsidR="0055281B" w:rsidRPr="00C30F29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55281B">
              <w:rPr>
                <w:rFonts w:cstheme="minorHAnsi"/>
                <w:bCs/>
                <w:sz w:val="24"/>
                <w:szCs w:val="24"/>
              </w:rPr>
              <w:t>42,5%</w:t>
            </w:r>
          </w:p>
        </w:tc>
      </w:tr>
      <w:tr w:rsidR="002E3A41" w:rsidRPr="00C30F29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EF31DF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F31DF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42511540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243 228</w:t>
            </w:r>
          </w:p>
        </w:tc>
        <w:tc>
          <w:tcPr>
            <w:tcW w:w="2551" w:type="dxa"/>
          </w:tcPr>
          <w:p w14:paraId="58AFC053" w14:textId="0F387553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45 857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611D5DFC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126 126</w:t>
            </w:r>
          </w:p>
        </w:tc>
        <w:tc>
          <w:tcPr>
            <w:tcW w:w="2551" w:type="dxa"/>
          </w:tcPr>
          <w:p w14:paraId="3834E8F6" w14:textId="566239D6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25 048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30867262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112 291</w:t>
            </w:r>
          </w:p>
        </w:tc>
        <w:tc>
          <w:tcPr>
            <w:tcW w:w="2551" w:type="dxa"/>
          </w:tcPr>
          <w:p w14:paraId="6B14E5B9" w14:textId="5D5B6EFA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23 184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27A5DA64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90 745</w:t>
            </w:r>
          </w:p>
        </w:tc>
        <w:tc>
          <w:tcPr>
            <w:tcW w:w="2551" w:type="dxa"/>
          </w:tcPr>
          <w:p w14:paraId="378E4D50" w14:textId="3602CA64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18 631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6FA77FDC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14 813</w:t>
            </w:r>
          </w:p>
        </w:tc>
        <w:tc>
          <w:tcPr>
            <w:tcW w:w="2551" w:type="dxa"/>
          </w:tcPr>
          <w:p w14:paraId="4A8402D5" w14:textId="6AEE1ABB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3 082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04E71613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179 896</w:t>
            </w:r>
          </w:p>
        </w:tc>
        <w:tc>
          <w:tcPr>
            <w:tcW w:w="2551" w:type="dxa"/>
          </w:tcPr>
          <w:p w14:paraId="61BBA3C3" w14:textId="6F7CA5AF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45 340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4DA2B6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29FEED59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136 421</w:t>
            </w:r>
          </w:p>
        </w:tc>
        <w:tc>
          <w:tcPr>
            <w:tcW w:w="2551" w:type="dxa"/>
          </w:tcPr>
          <w:p w14:paraId="1CCED339" w14:textId="06C93B13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33 859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29273B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49F373EF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278 803</w:t>
            </w:r>
          </w:p>
        </w:tc>
        <w:tc>
          <w:tcPr>
            <w:tcW w:w="2551" w:type="dxa"/>
          </w:tcPr>
          <w:p w14:paraId="5334B535" w14:textId="17365DB9" w:rsidR="000F58DC" w:rsidRPr="00A447AB" w:rsidRDefault="003A4610" w:rsidP="003A4610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48 029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4CDFCA7A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126 724</w:t>
            </w:r>
          </w:p>
        </w:tc>
        <w:tc>
          <w:tcPr>
            <w:tcW w:w="2551" w:type="dxa"/>
          </w:tcPr>
          <w:p w14:paraId="705727C7" w14:textId="0BC19C6D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41 766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1BAC4950" w:rsidR="000F58DC" w:rsidRPr="00A447AB" w:rsidRDefault="003A4610" w:rsidP="00E77CD0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235 539</w:t>
            </w:r>
          </w:p>
        </w:tc>
        <w:tc>
          <w:tcPr>
            <w:tcW w:w="2551" w:type="dxa"/>
          </w:tcPr>
          <w:p w14:paraId="01A8AFDC" w14:textId="430C903A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51 585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2801B2C7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215 909</w:t>
            </w:r>
          </w:p>
        </w:tc>
        <w:tc>
          <w:tcPr>
            <w:tcW w:w="2551" w:type="dxa"/>
          </w:tcPr>
          <w:p w14:paraId="41A44F7C" w14:textId="23BE60F2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48 822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2ED1C7AD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113 637</w:t>
            </w:r>
          </w:p>
        </w:tc>
        <w:tc>
          <w:tcPr>
            <w:tcW w:w="2551" w:type="dxa"/>
          </w:tcPr>
          <w:p w14:paraId="25EC3F14" w14:textId="5086DFA8" w:rsidR="000F58DC" w:rsidRPr="00A447AB" w:rsidRDefault="003A4610" w:rsidP="00C30F2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23 144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48823BBE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2CAC47D9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170 237</w:t>
            </w:r>
          </w:p>
        </w:tc>
        <w:tc>
          <w:tcPr>
            <w:tcW w:w="2551" w:type="dxa"/>
          </w:tcPr>
          <w:p w14:paraId="205AC7F1" w14:textId="2AF4536C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32 533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3F371400" w:rsidR="000F58DC" w:rsidRPr="00A447AB" w:rsidRDefault="003A4610" w:rsidP="000B5625">
            <w:pPr>
              <w:jc w:val="righ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2 044 369</w:t>
            </w:r>
          </w:p>
        </w:tc>
        <w:tc>
          <w:tcPr>
            <w:tcW w:w="2551" w:type="dxa"/>
          </w:tcPr>
          <w:p w14:paraId="36EA140B" w14:textId="25643309" w:rsidR="000F58DC" w:rsidRPr="00A447AB" w:rsidRDefault="003A4610" w:rsidP="000B5625">
            <w:pPr>
              <w:jc w:val="righ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440 880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2EF04F09" w:rsidR="000E2339" w:rsidRPr="00A447AB" w:rsidRDefault="003A4610" w:rsidP="000E2339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1 628</w:t>
            </w:r>
          </w:p>
        </w:tc>
        <w:tc>
          <w:tcPr>
            <w:tcW w:w="2551" w:type="dxa"/>
          </w:tcPr>
          <w:p w14:paraId="715CD61E" w14:textId="1FF730D1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155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24320961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1 698</w:t>
            </w:r>
          </w:p>
        </w:tc>
        <w:tc>
          <w:tcPr>
            <w:tcW w:w="2551" w:type="dxa"/>
          </w:tcPr>
          <w:p w14:paraId="35347C47" w14:textId="43437A29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139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38049494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7 932</w:t>
            </w:r>
          </w:p>
        </w:tc>
        <w:tc>
          <w:tcPr>
            <w:tcW w:w="2551" w:type="dxa"/>
          </w:tcPr>
          <w:p w14:paraId="6EA35EA8" w14:textId="61B105B5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320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594DE96B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3 366</w:t>
            </w:r>
          </w:p>
        </w:tc>
        <w:tc>
          <w:tcPr>
            <w:tcW w:w="2551" w:type="dxa"/>
          </w:tcPr>
          <w:p w14:paraId="6F4BEDA8" w14:textId="26774A16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760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6F9C4570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1 678</w:t>
            </w:r>
          </w:p>
        </w:tc>
        <w:tc>
          <w:tcPr>
            <w:tcW w:w="2551" w:type="dxa"/>
          </w:tcPr>
          <w:p w14:paraId="45F6D6E2" w14:textId="0E16101B" w:rsidR="000F58DC" w:rsidRPr="00A447AB" w:rsidRDefault="003A461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4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68FB3DE6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2551" w:type="dxa"/>
          </w:tcPr>
          <w:p w14:paraId="7458556D" w14:textId="46BAACF1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0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044ED77E" w:rsidR="000E2339" w:rsidRPr="00A447AB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2551" w:type="dxa"/>
          </w:tcPr>
          <w:p w14:paraId="22228400" w14:textId="67061C0A" w:rsidR="000E2339" w:rsidRPr="00A447AB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2</w:t>
            </w:r>
          </w:p>
        </w:tc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1544A070" w:rsidR="000F58DC" w:rsidRPr="00A447AB" w:rsidRDefault="003A4610" w:rsidP="000B5625">
            <w:pPr>
              <w:jc w:val="righ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2 060 675</w:t>
            </w:r>
          </w:p>
        </w:tc>
        <w:tc>
          <w:tcPr>
            <w:tcW w:w="2551" w:type="dxa"/>
          </w:tcPr>
          <w:p w14:paraId="37EEDC3A" w14:textId="0F1570E7" w:rsidR="000F58DC" w:rsidRPr="00A447AB" w:rsidRDefault="003A4610" w:rsidP="000B5625">
            <w:pPr>
              <w:jc w:val="righ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442 260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5C867620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DF3EB74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BB7E7E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BB7E7E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BB7E7E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BB7E7E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83E1" w14:textId="77777777" w:rsidR="00BB7E7E" w:rsidRDefault="00BB7E7E" w:rsidP="00EF7EA0">
      <w:pPr>
        <w:spacing w:after="0" w:line="240" w:lineRule="auto"/>
      </w:pPr>
      <w:r>
        <w:separator/>
      </w:r>
    </w:p>
  </w:endnote>
  <w:endnote w:type="continuationSeparator" w:id="0">
    <w:p w14:paraId="6C60A498" w14:textId="77777777" w:rsidR="00BB7E7E" w:rsidRDefault="00BB7E7E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1389" w14:textId="77777777" w:rsidR="00BB7E7E" w:rsidRDefault="00BB7E7E" w:rsidP="00EF7EA0">
      <w:pPr>
        <w:spacing w:after="0" w:line="240" w:lineRule="auto"/>
      </w:pPr>
      <w:r>
        <w:separator/>
      </w:r>
    </w:p>
  </w:footnote>
  <w:footnote w:type="continuationSeparator" w:id="0">
    <w:p w14:paraId="4DD384C3" w14:textId="77777777" w:rsidR="00BB7E7E" w:rsidRDefault="00BB7E7E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87DB7"/>
    <w:rsid w:val="00194D33"/>
    <w:rsid w:val="0019764F"/>
    <w:rsid w:val="001A1B84"/>
    <w:rsid w:val="001A751C"/>
    <w:rsid w:val="001B392A"/>
    <w:rsid w:val="001B6E0B"/>
    <w:rsid w:val="001C23AD"/>
    <w:rsid w:val="001D0AD2"/>
    <w:rsid w:val="001E1924"/>
    <w:rsid w:val="002011FB"/>
    <w:rsid w:val="00201329"/>
    <w:rsid w:val="00232166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610"/>
    <w:rsid w:val="003A4B5D"/>
    <w:rsid w:val="003A6219"/>
    <w:rsid w:val="003B4683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C6B7F"/>
    <w:rsid w:val="004E2D02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1470E"/>
    <w:rsid w:val="00655327"/>
    <w:rsid w:val="00657ECC"/>
    <w:rsid w:val="0066172A"/>
    <w:rsid w:val="00674A4B"/>
    <w:rsid w:val="00692D20"/>
    <w:rsid w:val="006B130B"/>
    <w:rsid w:val="006B493B"/>
    <w:rsid w:val="006D2567"/>
    <w:rsid w:val="006D37D5"/>
    <w:rsid w:val="006F09EB"/>
    <w:rsid w:val="006F351D"/>
    <w:rsid w:val="00707755"/>
    <w:rsid w:val="00730F59"/>
    <w:rsid w:val="00765544"/>
    <w:rsid w:val="00787FCA"/>
    <w:rsid w:val="0079282F"/>
    <w:rsid w:val="007A2511"/>
    <w:rsid w:val="007B0107"/>
    <w:rsid w:val="007B1B13"/>
    <w:rsid w:val="007C25DA"/>
    <w:rsid w:val="007F5208"/>
    <w:rsid w:val="007F6763"/>
    <w:rsid w:val="007F7EA8"/>
    <w:rsid w:val="008131C1"/>
    <w:rsid w:val="008407C9"/>
    <w:rsid w:val="00843DCF"/>
    <w:rsid w:val="00843DD0"/>
    <w:rsid w:val="00861480"/>
    <w:rsid w:val="00872052"/>
    <w:rsid w:val="00872339"/>
    <w:rsid w:val="00872406"/>
    <w:rsid w:val="00874F4F"/>
    <w:rsid w:val="00880481"/>
    <w:rsid w:val="00891911"/>
    <w:rsid w:val="008D431E"/>
    <w:rsid w:val="008D575F"/>
    <w:rsid w:val="008E0B7A"/>
    <w:rsid w:val="008E1C19"/>
    <w:rsid w:val="008F091F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407A2"/>
    <w:rsid w:val="00A447AB"/>
    <w:rsid w:val="00A56EDA"/>
    <w:rsid w:val="00A63FCE"/>
    <w:rsid w:val="00A72559"/>
    <w:rsid w:val="00A76E2A"/>
    <w:rsid w:val="00A77063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32BE"/>
    <w:rsid w:val="00B642C7"/>
    <w:rsid w:val="00B64EE4"/>
    <w:rsid w:val="00B70619"/>
    <w:rsid w:val="00B741AF"/>
    <w:rsid w:val="00B8049A"/>
    <w:rsid w:val="00B91FCB"/>
    <w:rsid w:val="00BB4983"/>
    <w:rsid w:val="00BB7E7E"/>
    <w:rsid w:val="00BD50AB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10983"/>
    <w:rsid w:val="00D163FF"/>
    <w:rsid w:val="00D31832"/>
    <w:rsid w:val="00D54650"/>
    <w:rsid w:val="00D6623C"/>
    <w:rsid w:val="00D76384"/>
    <w:rsid w:val="00D85E88"/>
    <w:rsid w:val="00D90BEB"/>
    <w:rsid w:val="00DB553A"/>
    <w:rsid w:val="00DD53EE"/>
    <w:rsid w:val="00DE3126"/>
    <w:rsid w:val="00DE4DFE"/>
    <w:rsid w:val="00DF4B3D"/>
    <w:rsid w:val="00E01D27"/>
    <w:rsid w:val="00E033F1"/>
    <w:rsid w:val="00E13B96"/>
    <w:rsid w:val="00E269FC"/>
    <w:rsid w:val="00E31EA5"/>
    <w:rsid w:val="00E32E3A"/>
    <w:rsid w:val="00E44F43"/>
    <w:rsid w:val="00E46442"/>
    <w:rsid w:val="00E52866"/>
    <w:rsid w:val="00E66747"/>
    <w:rsid w:val="00E77CD0"/>
    <w:rsid w:val="00E9469F"/>
    <w:rsid w:val="00E95866"/>
    <w:rsid w:val="00EA2B85"/>
    <w:rsid w:val="00EC0E9E"/>
    <w:rsid w:val="00ED0D49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AA1"/>
    <w:rsid w:val="00F56F04"/>
    <w:rsid w:val="00F700BD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12E6-13B4-4897-8D01-2E30D2EE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973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27</cp:revision>
  <cp:lastPrinted>2021-01-29T19:20:00Z</cp:lastPrinted>
  <dcterms:created xsi:type="dcterms:W3CDTF">2021-02-10T16:35:00Z</dcterms:created>
  <dcterms:modified xsi:type="dcterms:W3CDTF">2021-02-11T17:35:00Z</dcterms:modified>
</cp:coreProperties>
</file>