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1CB4E7EF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</w:t>
      </w:r>
      <w:r w:rsidR="00E3067F">
        <w:rPr>
          <w:rFonts w:cstheme="minorHAnsi"/>
          <w:szCs w:val="24"/>
        </w:rPr>
        <w:t>4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353CFF35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E3067F">
        <w:rPr>
          <w:rFonts w:cstheme="minorHAnsi"/>
          <w:b/>
          <w:sz w:val="24"/>
          <w:szCs w:val="24"/>
        </w:rPr>
        <w:t>4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4A164B">
        <w:rPr>
          <w:rFonts w:cstheme="minorHAnsi"/>
          <w:b/>
          <w:sz w:val="24"/>
          <w:szCs w:val="24"/>
        </w:rPr>
        <w:t xml:space="preserve">, </w:t>
      </w:r>
      <w:r w:rsidR="004A164B" w:rsidRPr="004A164B">
        <w:rPr>
          <w:rFonts w:cstheme="minorHAnsi"/>
          <w:b/>
          <w:sz w:val="24"/>
          <w:szCs w:val="24"/>
        </w:rPr>
        <w:t>près</w:t>
      </w:r>
      <w:r w:rsidR="00614809" w:rsidRPr="004A164B">
        <w:rPr>
          <w:rFonts w:cstheme="minorHAnsi"/>
          <w:b/>
          <w:sz w:val="24"/>
          <w:szCs w:val="24"/>
        </w:rPr>
        <w:t xml:space="preserve"> de 2</w:t>
      </w:r>
      <w:r w:rsidR="00E3067F" w:rsidRPr="004A164B">
        <w:rPr>
          <w:rFonts w:cstheme="minorHAnsi"/>
          <w:b/>
          <w:sz w:val="24"/>
          <w:szCs w:val="24"/>
        </w:rPr>
        <w:t> </w:t>
      </w:r>
      <w:r w:rsidR="004A164B" w:rsidRPr="004A164B">
        <w:rPr>
          <w:rFonts w:cstheme="minorHAnsi"/>
          <w:b/>
          <w:sz w:val="24"/>
          <w:szCs w:val="24"/>
        </w:rPr>
        <w:t>902</w:t>
      </w:r>
      <w:r w:rsidR="00547298" w:rsidRPr="004A164B">
        <w:rPr>
          <w:rFonts w:cstheme="minorHAnsi"/>
          <w:b/>
          <w:sz w:val="24"/>
          <w:szCs w:val="24"/>
        </w:rPr>
        <w:t xml:space="preserve">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8AC6D9B" w:rsidR="00194D33" w:rsidRDefault="00EF7EA0" w:rsidP="004A164B">
      <w:pPr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4A164B" w:rsidRPr="004A164B">
        <w:rPr>
          <w:rFonts w:cstheme="minorHAnsi"/>
          <w:bCs/>
          <w:sz w:val="24"/>
          <w:szCs w:val="24"/>
        </w:rPr>
        <w:t>2 254</w:t>
      </w:r>
      <w:r w:rsidR="004A164B">
        <w:rPr>
          <w:rFonts w:cstheme="minorHAnsi"/>
          <w:bCs/>
          <w:sz w:val="24"/>
          <w:szCs w:val="24"/>
        </w:rPr>
        <w:t> </w:t>
      </w:r>
      <w:r w:rsidR="004A164B" w:rsidRPr="004A164B">
        <w:rPr>
          <w:rFonts w:cstheme="minorHAnsi"/>
          <w:bCs/>
          <w:sz w:val="24"/>
          <w:szCs w:val="24"/>
        </w:rPr>
        <w:t>688</w:t>
      </w:r>
      <w:r w:rsidR="004A164B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4A164B">
        <w:rPr>
          <w:rFonts w:cstheme="minorHAnsi"/>
          <w:bCs/>
          <w:sz w:val="24"/>
          <w:szCs w:val="24"/>
        </w:rPr>
        <w:t>3,</w:t>
      </w:r>
      <w:r w:rsidR="00614809" w:rsidRPr="004A164B">
        <w:rPr>
          <w:rFonts w:cstheme="minorHAnsi"/>
          <w:bCs/>
          <w:sz w:val="24"/>
          <w:szCs w:val="24"/>
        </w:rPr>
        <w:t>4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4A164B">
        <w:rPr>
          <w:rFonts w:cstheme="minorHAnsi"/>
          <w:bCs/>
          <w:sz w:val="24"/>
          <w:szCs w:val="24"/>
        </w:rPr>
        <w:t>4</w:t>
      </w:r>
      <w:r w:rsidR="00E269FC" w:rsidRPr="004A164B">
        <w:rPr>
          <w:rFonts w:cstheme="minorHAnsi"/>
          <w:bCs/>
          <w:sz w:val="24"/>
          <w:szCs w:val="24"/>
        </w:rPr>
        <w:t>,</w:t>
      </w:r>
      <w:r w:rsidR="004A164B">
        <w:rPr>
          <w:rFonts w:cstheme="minorHAnsi"/>
          <w:bCs/>
          <w:sz w:val="24"/>
          <w:szCs w:val="24"/>
        </w:rPr>
        <w:t>3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4A164B" w:rsidRPr="004A164B">
        <w:rPr>
          <w:rFonts w:cstheme="minorHAnsi"/>
          <w:bCs/>
          <w:sz w:val="24"/>
          <w:szCs w:val="24"/>
        </w:rPr>
        <w:t>647</w:t>
      </w:r>
      <w:r w:rsidR="004A164B">
        <w:rPr>
          <w:rFonts w:cstheme="minorHAnsi"/>
          <w:bCs/>
          <w:sz w:val="24"/>
          <w:szCs w:val="24"/>
        </w:rPr>
        <w:t> </w:t>
      </w:r>
      <w:r w:rsidR="004A164B" w:rsidRPr="004A164B">
        <w:rPr>
          <w:rFonts w:cstheme="minorHAnsi"/>
          <w:bCs/>
          <w:sz w:val="24"/>
          <w:szCs w:val="24"/>
        </w:rPr>
        <w:t>173</w:t>
      </w:r>
      <w:r w:rsidR="004A164B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4A164B" w:rsidRPr="00CF6F9C" w14:paraId="7F092677" w14:textId="77777777" w:rsidTr="0051425D">
        <w:tc>
          <w:tcPr>
            <w:tcW w:w="1838" w:type="dxa"/>
          </w:tcPr>
          <w:p w14:paraId="60654AE1" w14:textId="67F19389" w:rsidR="004A164B" w:rsidRPr="00CF6F9C" w:rsidRDefault="004A164B" w:rsidP="004A16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6DC276D" w:rsidR="004A164B" w:rsidRPr="00E3067F" w:rsidRDefault="004A164B" w:rsidP="004A164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A164B">
              <w:rPr>
                <w:rFonts w:cstheme="minorHAnsi"/>
                <w:bCs/>
                <w:sz w:val="24"/>
                <w:szCs w:val="24"/>
              </w:rPr>
              <w:t>6 157</w:t>
            </w:r>
          </w:p>
        </w:tc>
        <w:tc>
          <w:tcPr>
            <w:tcW w:w="2408" w:type="dxa"/>
          </w:tcPr>
          <w:p w14:paraId="14E4821A" w14:textId="55283B57" w:rsidR="004A164B" w:rsidRPr="004A164B" w:rsidRDefault="004A164B" w:rsidP="004A164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A164B">
              <w:rPr>
                <w:rFonts w:cstheme="minorHAnsi"/>
                <w:bCs/>
                <w:sz w:val="24"/>
                <w:szCs w:val="24"/>
              </w:rPr>
              <w:t>706 754</w:t>
            </w:r>
          </w:p>
        </w:tc>
        <w:tc>
          <w:tcPr>
            <w:tcW w:w="2408" w:type="dxa"/>
          </w:tcPr>
          <w:p w14:paraId="1D5FCB5B" w14:textId="4381D3AF" w:rsidR="004A164B" w:rsidRPr="004A164B" w:rsidRDefault="004A164B" w:rsidP="004A164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A164B">
              <w:rPr>
                <w:rFonts w:cstheme="minorHAnsi"/>
                <w:bCs/>
                <w:sz w:val="24"/>
                <w:szCs w:val="24"/>
              </w:rPr>
              <w:t>2 254 688</w:t>
            </w:r>
          </w:p>
        </w:tc>
      </w:tr>
      <w:tr w:rsidR="004A164B" w:rsidRPr="00CF6F9C" w14:paraId="7AFA91C4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4A164B" w:rsidRPr="00CF6F9C" w:rsidRDefault="004A164B" w:rsidP="004A16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7A263786" w:rsidR="004A164B" w:rsidRPr="00E3067F" w:rsidRDefault="004A164B" w:rsidP="004A164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A164B">
              <w:rPr>
                <w:rFonts w:cstheme="minorHAnsi"/>
                <w:bCs/>
                <w:sz w:val="24"/>
                <w:szCs w:val="24"/>
              </w:rPr>
              <w:t>7 274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398BD07D" w:rsidR="004A164B" w:rsidRPr="004A164B" w:rsidRDefault="004A164B" w:rsidP="004A164B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A164B">
              <w:rPr>
                <w:rFonts w:cstheme="minorHAnsi"/>
                <w:color w:val="000000"/>
                <w:sz w:val="24"/>
                <w:szCs w:val="24"/>
              </w:rPr>
              <w:t>591 742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0CFE58DD" w:rsidR="004A164B" w:rsidRPr="004A164B" w:rsidRDefault="004A164B" w:rsidP="004A164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A164B">
              <w:rPr>
                <w:rFonts w:cstheme="minorHAnsi"/>
                <w:bCs/>
                <w:sz w:val="24"/>
                <w:szCs w:val="24"/>
              </w:rPr>
              <w:t>647 173</w:t>
            </w:r>
          </w:p>
        </w:tc>
      </w:tr>
      <w:tr w:rsidR="004A164B" w:rsidRPr="00547298" w14:paraId="212A4B16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4A164B" w:rsidRPr="00CF6F9C" w:rsidRDefault="004A164B" w:rsidP="004A16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03CF8F87" w:rsidR="004A164B" w:rsidRPr="00E3067F" w:rsidRDefault="004A164B" w:rsidP="004A164B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A164B">
              <w:rPr>
                <w:rFonts w:cstheme="minorHAnsi"/>
                <w:b/>
                <w:sz w:val="24"/>
                <w:szCs w:val="24"/>
              </w:rPr>
              <w:t>13 431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45862092" w:rsidR="004A164B" w:rsidRPr="004A164B" w:rsidRDefault="004A164B" w:rsidP="004A164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A164B">
              <w:rPr>
                <w:rFonts w:cstheme="minorHAnsi"/>
                <w:b/>
                <w:sz w:val="24"/>
                <w:szCs w:val="24"/>
              </w:rPr>
              <w:t>1 298 496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6A0FF48E" w:rsidR="004A164B" w:rsidRPr="004A164B" w:rsidRDefault="004A164B" w:rsidP="004A164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A164B">
              <w:rPr>
                <w:rFonts w:cstheme="minorHAnsi"/>
                <w:b/>
                <w:bCs/>
                <w:sz w:val="24"/>
                <w:szCs w:val="24"/>
              </w:rPr>
              <w:t>2 901 861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4B08543B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E3067F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1DEC7FFE" w:rsidR="0055281B" w:rsidRPr="00C337A0" w:rsidRDefault="00741E7A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39,8</w:t>
            </w:r>
            <w:r w:rsidR="0055281B" w:rsidRPr="00C337A0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C337A0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337A0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741E7A" w:rsidRPr="00C30F29" w14:paraId="7E6306DA" w14:textId="77777777" w:rsidTr="00436192">
        <w:tc>
          <w:tcPr>
            <w:tcW w:w="3397" w:type="dxa"/>
          </w:tcPr>
          <w:p w14:paraId="34905677" w14:textId="79E95428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216B22AB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0,5%</w:t>
            </w:r>
          </w:p>
        </w:tc>
      </w:tr>
      <w:tr w:rsidR="00741E7A" w:rsidRPr="00C30F29" w14:paraId="7E8D1372" w14:textId="77777777" w:rsidTr="00436192">
        <w:tc>
          <w:tcPr>
            <w:tcW w:w="3397" w:type="dxa"/>
          </w:tcPr>
          <w:p w14:paraId="380AC937" w14:textId="5812ADD8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5D516477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1,1%</w:t>
            </w:r>
          </w:p>
        </w:tc>
      </w:tr>
      <w:tr w:rsidR="00741E7A" w:rsidRPr="00C30F29" w14:paraId="50BD63E2" w14:textId="77777777" w:rsidTr="00436192">
        <w:tc>
          <w:tcPr>
            <w:tcW w:w="3397" w:type="dxa"/>
          </w:tcPr>
          <w:p w14:paraId="052FE8B0" w14:textId="4C8EAC89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7E18169C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3,4%</w:t>
            </w:r>
          </w:p>
        </w:tc>
      </w:tr>
      <w:tr w:rsidR="00741E7A" w:rsidRPr="00C30F29" w14:paraId="06102D8A" w14:textId="77777777" w:rsidTr="00436192">
        <w:tc>
          <w:tcPr>
            <w:tcW w:w="3397" w:type="dxa"/>
          </w:tcPr>
          <w:p w14:paraId="0CADAEA5" w14:textId="46C3E815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0E6E0457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5,3%</w:t>
            </w:r>
          </w:p>
        </w:tc>
      </w:tr>
      <w:tr w:rsidR="00741E7A" w:rsidRPr="00C30F29" w14:paraId="0C1B4463" w14:textId="77777777" w:rsidTr="00436192">
        <w:tc>
          <w:tcPr>
            <w:tcW w:w="3397" w:type="dxa"/>
          </w:tcPr>
          <w:p w14:paraId="35AFAD92" w14:textId="20CDA55C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4CD2DB10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13,5%</w:t>
            </w:r>
          </w:p>
        </w:tc>
      </w:tr>
      <w:tr w:rsidR="00741E7A" w:rsidRPr="00C30F29" w14:paraId="5A9CCDB4" w14:textId="77777777" w:rsidTr="00436192">
        <w:tc>
          <w:tcPr>
            <w:tcW w:w="3397" w:type="dxa"/>
          </w:tcPr>
          <w:p w14:paraId="0D1B3D5E" w14:textId="453562F7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14AB7554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5,9%</w:t>
            </w:r>
          </w:p>
        </w:tc>
      </w:tr>
      <w:tr w:rsidR="00741E7A" w:rsidRPr="00C30F29" w14:paraId="2C1A8FB7" w14:textId="77777777" w:rsidTr="00436192">
        <w:tc>
          <w:tcPr>
            <w:tcW w:w="3397" w:type="dxa"/>
          </w:tcPr>
          <w:p w14:paraId="4C8C669B" w14:textId="557BE17D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4E01D1E9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4,1%</w:t>
            </w:r>
          </w:p>
        </w:tc>
      </w:tr>
      <w:tr w:rsidR="00741E7A" w:rsidRPr="00C30F29" w14:paraId="1AEFDAB2" w14:textId="77777777" w:rsidTr="00436192">
        <w:tc>
          <w:tcPr>
            <w:tcW w:w="3397" w:type="dxa"/>
          </w:tcPr>
          <w:p w14:paraId="12081821" w14:textId="230748F7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1BAFCCAA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4,9%</w:t>
            </w:r>
          </w:p>
        </w:tc>
      </w:tr>
      <w:tr w:rsidR="00741E7A" w:rsidRPr="00C30F29" w14:paraId="17D7765E" w14:textId="77777777" w:rsidTr="00436192">
        <w:tc>
          <w:tcPr>
            <w:tcW w:w="3397" w:type="dxa"/>
          </w:tcPr>
          <w:p w14:paraId="7EA5A05F" w14:textId="48087722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606A3041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19,1%</w:t>
            </w:r>
          </w:p>
        </w:tc>
      </w:tr>
      <w:tr w:rsidR="00741E7A" w:rsidRPr="00C30F29" w14:paraId="6854588E" w14:textId="77777777" w:rsidTr="00436192">
        <w:tc>
          <w:tcPr>
            <w:tcW w:w="3397" w:type="dxa"/>
          </w:tcPr>
          <w:p w14:paraId="3FE4BCD4" w14:textId="53FA8900" w:rsidR="00741E7A" w:rsidRPr="00C30F29" w:rsidRDefault="00741E7A" w:rsidP="00741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3AC8428C" w:rsidR="00741E7A" w:rsidRPr="00741E7A" w:rsidRDefault="00741E7A" w:rsidP="00741E7A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41E7A">
              <w:rPr>
                <w:rFonts w:cstheme="minorHAnsi"/>
                <w:bCs/>
                <w:sz w:val="24"/>
                <w:szCs w:val="24"/>
              </w:rPr>
              <w:t>42,1%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854E95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54E95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164783F2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266 977</w:t>
            </w:r>
          </w:p>
        </w:tc>
        <w:tc>
          <w:tcPr>
            <w:tcW w:w="2551" w:type="dxa"/>
          </w:tcPr>
          <w:p w14:paraId="58AFC053" w14:textId="2EAB0A82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65 507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1AEE6BAE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133 284</w:t>
            </w:r>
          </w:p>
        </w:tc>
        <w:tc>
          <w:tcPr>
            <w:tcW w:w="2551" w:type="dxa"/>
          </w:tcPr>
          <w:p w14:paraId="3834E8F6" w14:textId="0B2D290F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35 525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06C35A1C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124 544</w:t>
            </w:r>
          </w:p>
        </w:tc>
        <w:tc>
          <w:tcPr>
            <w:tcW w:w="2551" w:type="dxa"/>
          </w:tcPr>
          <w:p w14:paraId="6B14E5B9" w14:textId="1A14CF0E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37 972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68A20E34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99 588</w:t>
            </w:r>
          </w:p>
        </w:tc>
        <w:tc>
          <w:tcPr>
            <w:tcW w:w="2551" w:type="dxa"/>
          </w:tcPr>
          <w:p w14:paraId="378E4D50" w14:textId="582C0590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27 338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571EF027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16 452</w:t>
            </w:r>
          </w:p>
        </w:tc>
        <w:tc>
          <w:tcPr>
            <w:tcW w:w="2551" w:type="dxa"/>
          </w:tcPr>
          <w:p w14:paraId="4A8402D5" w14:textId="14433FC6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4 063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2ECAE772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197 358</w:t>
            </w:r>
          </w:p>
        </w:tc>
        <w:tc>
          <w:tcPr>
            <w:tcW w:w="2551" w:type="dxa"/>
          </w:tcPr>
          <w:p w14:paraId="61BBA3C3" w14:textId="5828FAF3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58 351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6728A990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146 421</w:t>
            </w:r>
          </w:p>
        </w:tc>
        <w:tc>
          <w:tcPr>
            <w:tcW w:w="2551" w:type="dxa"/>
          </w:tcPr>
          <w:p w14:paraId="1CCED339" w14:textId="782CF452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 xml:space="preserve">46 358 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479517FD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310 554</w:t>
            </w:r>
          </w:p>
        </w:tc>
        <w:tc>
          <w:tcPr>
            <w:tcW w:w="2551" w:type="dxa"/>
          </w:tcPr>
          <w:p w14:paraId="5334B535" w14:textId="1819A2CE" w:rsidR="000F58DC" w:rsidRPr="003D743F" w:rsidRDefault="00190A2C" w:rsidP="003A4610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76 650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157F3BF9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136 612</w:t>
            </w:r>
          </w:p>
        </w:tc>
        <w:tc>
          <w:tcPr>
            <w:tcW w:w="2551" w:type="dxa"/>
          </w:tcPr>
          <w:p w14:paraId="705727C7" w14:textId="764C0BAC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52 702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436E684B" w:rsidR="000F58DC" w:rsidRPr="003D743F" w:rsidRDefault="00190A2C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253 676</w:t>
            </w:r>
          </w:p>
        </w:tc>
        <w:tc>
          <w:tcPr>
            <w:tcW w:w="2551" w:type="dxa"/>
          </w:tcPr>
          <w:p w14:paraId="01A8AFDC" w14:textId="673E28C1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72 197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402DD635" w:rsidR="000F58DC" w:rsidRPr="003D743F" w:rsidRDefault="00190A2C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235 037</w:t>
            </w:r>
          </w:p>
        </w:tc>
        <w:tc>
          <w:tcPr>
            <w:tcW w:w="2551" w:type="dxa"/>
          </w:tcPr>
          <w:p w14:paraId="41A44F7C" w14:textId="535BFEB2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69 256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4AFAB1CB" w:rsidR="000F58DC" w:rsidRPr="003D743F" w:rsidRDefault="00190A2C" w:rsidP="006107EA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125 132</w:t>
            </w:r>
          </w:p>
        </w:tc>
        <w:tc>
          <w:tcPr>
            <w:tcW w:w="2551" w:type="dxa"/>
          </w:tcPr>
          <w:p w14:paraId="25EC3F14" w14:textId="1B9236FA" w:rsidR="000F58DC" w:rsidRPr="003D743F" w:rsidRDefault="00190A2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38 678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7BAF213E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184 427</w:t>
            </w:r>
          </w:p>
        </w:tc>
        <w:tc>
          <w:tcPr>
            <w:tcW w:w="2551" w:type="dxa"/>
          </w:tcPr>
          <w:p w14:paraId="205AC7F1" w14:textId="142B5179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46 990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02B4A502" w:rsidR="000F58DC" w:rsidRPr="003D743F" w:rsidRDefault="00190A2C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3D743F">
              <w:rPr>
                <w:rFonts w:cstheme="minorHAnsi"/>
                <w:b/>
                <w:szCs w:val="24"/>
              </w:rPr>
              <w:t>2 230 062</w:t>
            </w:r>
          </w:p>
        </w:tc>
        <w:tc>
          <w:tcPr>
            <w:tcW w:w="2551" w:type="dxa"/>
          </w:tcPr>
          <w:p w14:paraId="36EA140B" w14:textId="26FAA584" w:rsidR="000F58DC" w:rsidRPr="003D743F" w:rsidRDefault="00190A2C" w:rsidP="006107EA">
            <w:pPr>
              <w:jc w:val="right"/>
              <w:rPr>
                <w:rFonts w:cstheme="minorHAnsi"/>
                <w:b/>
                <w:szCs w:val="24"/>
              </w:rPr>
            </w:pPr>
            <w:r w:rsidRPr="003D743F">
              <w:rPr>
                <w:rFonts w:cstheme="minorHAnsi"/>
                <w:b/>
                <w:szCs w:val="24"/>
              </w:rPr>
              <w:t>631 587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050A8917" w:rsidR="000E2339" w:rsidRPr="003D743F" w:rsidRDefault="00190A2C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1 920</w:t>
            </w:r>
          </w:p>
        </w:tc>
        <w:tc>
          <w:tcPr>
            <w:tcW w:w="2551" w:type="dxa"/>
          </w:tcPr>
          <w:p w14:paraId="715CD61E" w14:textId="2ED1F3D6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293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5FC89EE5" w:rsidR="000F58DC" w:rsidRPr="003D743F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1 853</w:t>
            </w:r>
          </w:p>
        </w:tc>
        <w:tc>
          <w:tcPr>
            <w:tcW w:w="2551" w:type="dxa"/>
          </w:tcPr>
          <w:p w14:paraId="35347C47" w14:textId="75338C4E" w:rsidR="000F58DC" w:rsidRPr="003D743F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294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75857BD3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9 883</w:t>
            </w:r>
          </w:p>
        </w:tc>
        <w:tc>
          <w:tcPr>
            <w:tcW w:w="2551" w:type="dxa"/>
          </w:tcPr>
          <w:p w14:paraId="6EA35EA8" w14:textId="7AC9A970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564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028B52C4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3 660</w:t>
            </w:r>
          </w:p>
        </w:tc>
        <w:tc>
          <w:tcPr>
            <w:tcW w:w="2551" w:type="dxa"/>
          </w:tcPr>
          <w:p w14:paraId="6F4BEDA8" w14:textId="76ABA1B1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1 026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08F85336" w:rsidR="000F58DC" w:rsidRPr="003D743F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2 302</w:t>
            </w:r>
          </w:p>
        </w:tc>
        <w:tc>
          <w:tcPr>
            <w:tcW w:w="2551" w:type="dxa"/>
          </w:tcPr>
          <w:p w14:paraId="45F6D6E2" w14:textId="049285EA" w:rsidR="000F58DC" w:rsidRPr="003D743F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5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218E77DC" w:rsidR="000E2339" w:rsidRPr="003D743F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3D743F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24CDB485" w:rsidR="000E2339" w:rsidRPr="003D743F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2551" w:type="dxa"/>
          </w:tcPr>
          <w:p w14:paraId="22228400" w14:textId="67061C0A" w:rsidR="000E2339" w:rsidRPr="003D743F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3D743F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3EAF5A65" w:rsidR="000F58DC" w:rsidRPr="003D743F" w:rsidRDefault="00190A2C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3D743F">
              <w:rPr>
                <w:rFonts w:cstheme="minorHAnsi"/>
                <w:b/>
                <w:szCs w:val="24"/>
              </w:rPr>
              <w:t>2 249 685</w:t>
            </w:r>
          </w:p>
        </w:tc>
        <w:tc>
          <w:tcPr>
            <w:tcW w:w="2551" w:type="dxa"/>
          </w:tcPr>
          <w:p w14:paraId="37EEDC3A" w14:textId="68739724" w:rsidR="000F58DC" w:rsidRPr="003D743F" w:rsidRDefault="00190A2C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3D743F">
              <w:rPr>
                <w:rFonts w:cstheme="minorHAnsi"/>
                <w:b/>
                <w:szCs w:val="24"/>
              </w:rPr>
              <w:t>633 771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151B9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151B9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151B9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151B9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F174E" w14:textId="77777777" w:rsidR="00151B97" w:rsidRDefault="00151B97" w:rsidP="00EF7EA0">
      <w:pPr>
        <w:spacing w:after="0" w:line="240" w:lineRule="auto"/>
      </w:pPr>
      <w:r>
        <w:separator/>
      </w:r>
    </w:p>
  </w:endnote>
  <w:endnote w:type="continuationSeparator" w:id="0">
    <w:p w14:paraId="2701E644" w14:textId="77777777" w:rsidR="00151B97" w:rsidRDefault="00151B9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46FE" w14:textId="77777777" w:rsidR="00151B97" w:rsidRDefault="00151B97" w:rsidP="00EF7EA0">
      <w:pPr>
        <w:spacing w:after="0" w:line="240" w:lineRule="auto"/>
      </w:pPr>
      <w:r>
        <w:separator/>
      </w:r>
    </w:p>
  </w:footnote>
  <w:footnote w:type="continuationSeparator" w:id="0">
    <w:p w14:paraId="01E62551" w14:textId="77777777" w:rsidR="00151B97" w:rsidRDefault="00151B97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12880"/>
    <w:rsid w:val="0014205A"/>
    <w:rsid w:val="00151B97"/>
    <w:rsid w:val="00151F23"/>
    <w:rsid w:val="00164390"/>
    <w:rsid w:val="00187DB7"/>
    <w:rsid w:val="00190A2C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1E565F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D743F"/>
    <w:rsid w:val="003E13BB"/>
    <w:rsid w:val="004058A5"/>
    <w:rsid w:val="004105C3"/>
    <w:rsid w:val="004173C8"/>
    <w:rsid w:val="00446A4B"/>
    <w:rsid w:val="00455F24"/>
    <w:rsid w:val="004829D0"/>
    <w:rsid w:val="004A164B"/>
    <w:rsid w:val="004B7C79"/>
    <w:rsid w:val="004C5C04"/>
    <w:rsid w:val="004C6B7F"/>
    <w:rsid w:val="004E0DCB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1B7F"/>
    <w:rsid w:val="00605FF4"/>
    <w:rsid w:val="006107EA"/>
    <w:rsid w:val="0061470E"/>
    <w:rsid w:val="00614809"/>
    <w:rsid w:val="00655327"/>
    <w:rsid w:val="00657C72"/>
    <w:rsid w:val="00657ECC"/>
    <w:rsid w:val="0066172A"/>
    <w:rsid w:val="00674A4B"/>
    <w:rsid w:val="00692D20"/>
    <w:rsid w:val="006B130B"/>
    <w:rsid w:val="006B493B"/>
    <w:rsid w:val="006D2567"/>
    <w:rsid w:val="006D37D5"/>
    <w:rsid w:val="006F09EB"/>
    <w:rsid w:val="006F351D"/>
    <w:rsid w:val="00707755"/>
    <w:rsid w:val="00710A5B"/>
    <w:rsid w:val="00730F59"/>
    <w:rsid w:val="00741E7A"/>
    <w:rsid w:val="00765544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54E95"/>
    <w:rsid w:val="00861480"/>
    <w:rsid w:val="00872052"/>
    <w:rsid w:val="00872339"/>
    <w:rsid w:val="00872406"/>
    <w:rsid w:val="00874F4F"/>
    <w:rsid w:val="00880481"/>
    <w:rsid w:val="00891911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227C"/>
    <w:rsid w:val="00963AE8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31691"/>
    <w:rsid w:val="00A407A2"/>
    <w:rsid w:val="00A447AB"/>
    <w:rsid w:val="00A56EDA"/>
    <w:rsid w:val="00A63FCE"/>
    <w:rsid w:val="00A72559"/>
    <w:rsid w:val="00A76E2A"/>
    <w:rsid w:val="00A77063"/>
    <w:rsid w:val="00AA25E4"/>
    <w:rsid w:val="00AA6258"/>
    <w:rsid w:val="00AB2A57"/>
    <w:rsid w:val="00AC0F48"/>
    <w:rsid w:val="00AE7D0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84CA6"/>
    <w:rsid w:val="00B91FCB"/>
    <w:rsid w:val="00BB4983"/>
    <w:rsid w:val="00BB7E7E"/>
    <w:rsid w:val="00BD50AB"/>
    <w:rsid w:val="00BF31A4"/>
    <w:rsid w:val="00C01C94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81073"/>
    <w:rsid w:val="00CC2D44"/>
    <w:rsid w:val="00CD6D17"/>
    <w:rsid w:val="00CF6F9C"/>
    <w:rsid w:val="00D0231E"/>
    <w:rsid w:val="00D03D29"/>
    <w:rsid w:val="00D10983"/>
    <w:rsid w:val="00D163FF"/>
    <w:rsid w:val="00D31832"/>
    <w:rsid w:val="00D54650"/>
    <w:rsid w:val="00D6623C"/>
    <w:rsid w:val="00D76384"/>
    <w:rsid w:val="00D85E88"/>
    <w:rsid w:val="00D90BEB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067F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EE29-AA7D-4A3D-83B6-511FE42E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2021-02-14T18:38:00Z</dcterms:created>
  <dcterms:modified xsi:type="dcterms:W3CDTF">2021-02-14T18:38:00Z</dcterms:modified>
</cp:coreProperties>
</file>