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53A8" w14:textId="77777777" w:rsidR="009851E9" w:rsidRDefault="009851E9" w:rsidP="00547AE8">
      <w:pPr>
        <w:spacing w:after="0"/>
        <w:jc w:val="center"/>
        <w:rPr>
          <w:rFonts w:ascii="Times New Roman" w:hAnsi="Times New Roman" w:cs="Times New Roman"/>
          <w:b/>
          <w:sz w:val="28"/>
          <w:szCs w:val="28"/>
        </w:rPr>
      </w:pPr>
    </w:p>
    <w:p w14:paraId="5932F764" w14:textId="1F4B5F07" w:rsidR="00547AE8" w:rsidRPr="00935434" w:rsidRDefault="00547AE8" w:rsidP="00547AE8">
      <w:pPr>
        <w:spacing w:after="0"/>
        <w:jc w:val="center"/>
        <w:rPr>
          <w:rFonts w:ascii="Times New Roman" w:hAnsi="Times New Roman" w:cs="Times New Roman"/>
          <w:b/>
          <w:sz w:val="28"/>
          <w:szCs w:val="28"/>
        </w:rPr>
      </w:pPr>
      <w:r w:rsidRPr="00935434">
        <w:rPr>
          <w:rFonts w:ascii="Times New Roman" w:hAnsi="Times New Roman" w:cs="Times New Roman"/>
          <w:b/>
          <w:sz w:val="28"/>
          <w:szCs w:val="28"/>
        </w:rPr>
        <w:t>APPEL A MANIFESTATION D’INTERET (AMI)</w:t>
      </w:r>
    </w:p>
    <w:p w14:paraId="1349906C" w14:textId="5A3CD0B7" w:rsidR="00547AE8" w:rsidRPr="00935434" w:rsidRDefault="00547AE8" w:rsidP="00547AE8">
      <w:pPr>
        <w:spacing w:after="0"/>
        <w:jc w:val="center"/>
        <w:rPr>
          <w:rFonts w:ascii="Times New Roman" w:hAnsi="Times New Roman" w:cs="Times New Roman"/>
          <w:b/>
          <w:sz w:val="28"/>
          <w:szCs w:val="28"/>
        </w:rPr>
      </w:pPr>
      <w:r w:rsidRPr="00935434">
        <w:rPr>
          <w:rFonts w:ascii="Times New Roman" w:hAnsi="Times New Roman" w:cs="Times New Roman"/>
          <w:b/>
          <w:sz w:val="28"/>
          <w:szCs w:val="28"/>
        </w:rPr>
        <w:t xml:space="preserve">POUR L’ELABORATION </w:t>
      </w:r>
    </w:p>
    <w:p w14:paraId="08363197" w14:textId="548096EA" w:rsidR="00547AE8" w:rsidRPr="00935434" w:rsidRDefault="00547AE8" w:rsidP="00547AE8">
      <w:pPr>
        <w:spacing w:after="0"/>
        <w:jc w:val="center"/>
        <w:rPr>
          <w:rFonts w:ascii="Times New Roman" w:hAnsi="Times New Roman" w:cs="Times New Roman"/>
          <w:b/>
          <w:sz w:val="28"/>
          <w:szCs w:val="28"/>
        </w:rPr>
      </w:pPr>
      <w:r w:rsidRPr="00935434">
        <w:rPr>
          <w:rFonts w:ascii="Times New Roman" w:hAnsi="Times New Roman" w:cs="Times New Roman"/>
          <w:b/>
          <w:sz w:val="28"/>
          <w:szCs w:val="28"/>
        </w:rPr>
        <w:t>D’UN PROTOCOLE DE COOPERATION NATIONAL</w:t>
      </w:r>
    </w:p>
    <w:p w14:paraId="221923BB" w14:textId="75A45493" w:rsidR="00547AE8" w:rsidRDefault="00547AE8" w:rsidP="00547AE8">
      <w:pPr>
        <w:jc w:val="center"/>
        <w:rPr>
          <w:rFonts w:ascii="Times New Roman" w:hAnsi="Times New Roman" w:cs="Times New Roman"/>
          <w:i/>
          <w:sz w:val="20"/>
          <w:szCs w:val="20"/>
        </w:rPr>
      </w:pPr>
      <w:r w:rsidRPr="0085569A">
        <w:rPr>
          <w:rFonts w:ascii="Times New Roman" w:hAnsi="Times New Roman" w:cs="Times New Roman"/>
          <w:i/>
          <w:sz w:val="20"/>
          <w:szCs w:val="20"/>
        </w:rPr>
        <w:t>Conformément à l’article 66 de la Loi OTSS relatif au dispositif des protocoles de coopération entre professionnels de santé</w:t>
      </w:r>
    </w:p>
    <w:p w14:paraId="2801CE3A" w14:textId="28E85ED0" w:rsidR="009851E9" w:rsidRDefault="00A77941" w:rsidP="00A77941">
      <w:pPr>
        <w:jc w:val="center"/>
        <w:rPr>
          <w:rFonts w:ascii="Times New Roman" w:hAnsi="Times New Roman" w:cs="Times New Roman"/>
          <w:b/>
          <w:sz w:val="24"/>
          <w:szCs w:val="24"/>
        </w:rPr>
      </w:pPr>
      <w:r w:rsidRPr="00105A90">
        <w:rPr>
          <w:rFonts w:ascii="Times New Roman" w:hAnsi="Times New Roman" w:cs="Times New Roman"/>
          <w:b/>
          <w:sz w:val="24"/>
          <w:szCs w:val="24"/>
          <w:u w:val="single"/>
        </w:rPr>
        <w:t>Thématique cible</w:t>
      </w:r>
      <w:r w:rsidRPr="00105A90">
        <w:rPr>
          <w:rFonts w:ascii="Times New Roman" w:hAnsi="Times New Roman" w:cs="Times New Roman"/>
          <w:b/>
          <w:sz w:val="24"/>
          <w:szCs w:val="24"/>
        </w:rPr>
        <w:t xml:space="preserve"> : </w:t>
      </w:r>
    </w:p>
    <w:p w14:paraId="758A17B1" w14:textId="40ABCD25" w:rsidR="00E35611" w:rsidRDefault="00E35611" w:rsidP="00A77941">
      <w:pPr>
        <w:jc w:val="center"/>
        <w:rPr>
          <w:rFonts w:ascii="Times New Roman" w:hAnsi="Times New Roman" w:cs="Times New Roman"/>
          <w:b/>
          <w:sz w:val="24"/>
          <w:szCs w:val="24"/>
        </w:rPr>
      </w:pPr>
      <w:r w:rsidRPr="00E35611">
        <w:rPr>
          <w:rFonts w:ascii="Times New Roman" w:hAnsi="Times New Roman" w:cs="Times New Roman"/>
          <w:b/>
          <w:sz w:val="24"/>
          <w:szCs w:val="24"/>
        </w:rPr>
        <w:t>Prise en charge de patients requérant des soins palliatifs par des infirmiers-</w:t>
      </w:r>
      <w:proofErr w:type="spellStart"/>
      <w:r w:rsidRPr="00E35611">
        <w:rPr>
          <w:rFonts w:ascii="Times New Roman" w:hAnsi="Times New Roman" w:cs="Times New Roman"/>
          <w:b/>
          <w:sz w:val="24"/>
          <w:szCs w:val="24"/>
        </w:rPr>
        <w:t>ières</w:t>
      </w:r>
      <w:proofErr w:type="spellEnd"/>
      <w:r w:rsidRPr="00E35611">
        <w:rPr>
          <w:rFonts w:ascii="Times New Roman" w:hAnsi="Times New Roman" w:cs="Times New Roman"/>
          <w:b/>
          <w:sz w:val="24"/>
          <w:szCs w:val="24"/>
        </w:rPr>
        <w:t xml:space="preserve"> experts</w:t>
      </w:r>
      <w:r>
        <w:rPr>
          <w:rFonts w:ascii="Times New Roman" w:hAnsi="Times New Roman" w:cs="Times New Roman"/>
          <w:b/>
          <w:sz w:val="24"/>
          <w:szCs w:val="24"/>
        </w:rPr>
        <w:t>-es</w:t>
      </w:r>
      <w:r w:rsidRPr="00E35611">
        <w:rPr>
          <w:rFonts w:ascii="Times New Roman" w:hAnsi="Times New Roman" w:cs="Times New Roman"/>
          <w:b/>
          <w:sz w:val="24"/>
          <w:szCs w:val="24"/>
        </w:rPr>
        <w:t xml:space="preserve"> en soins palliatifs en coopération avec les médecins</w:t>
      </w:r>
    </w:p>
    <w:p w14:paraId="05215F75" w14:textId="7B36E3B8" w:rsidR="00DD0B5B" w:rsidRPr="00AE46FC" w:rsidRDefault="00DD0B5B" w:rsidP="003B2DBB">
      <w:pPr>
        <w:pBdr>
          <w:top w:val="single" w:sz="4" w:space="19" w:color="auto"/>
          <w:left w:val="single" w:sz="4" w:space="4" w:color="auto"/>
          <w:bottom w:val="single" w:sz="4" w:space="1" w:color="auto"/>
          <w:right w:val="single" w:sz="4" w:space="4" w:color="auto"/>
        </w:pBdr>
        <w:jc w:val="both"/>
        <w:rPr>
          <w:rFonts w:ascii="Times New Roman" w:hAnsi="Times New Roman" w:cs="Times New Roman"/>
        </w:rPr>
      </w:pPr>
      <w:bookmarkStart w:id="0" w:name="_GoBack"/>
      <w:bookmarkEnd w:id="0"/>
      <w:r w:rsidRPr="00231B5B">
        <w:rPr>
          <w:rFonts w:ascii="Times New Roman" w:hAnsi="Times New Roman" w:cs="Times New Roman"/>
          <w:b/>
        </w:rPr>
        <w:t>Date de publication</w:t>
      </w:r>
      <w:r w:rsidR="004A04C7" w:rsidRPr="00231B5B">
        <w:rPr>
          <w:rFonts w:ascii="Times New Roman" w:hAnsi="Times New Roman" w:cs="Times New Roman"/>
          <w:b/>
        </w:rPr>
        <w:t xml:space="preserve"> de l’AMI</w:t>
      </w:r>
      <w:r w:rsidR="004A04C7" w:rsidRPr="00AE46FC">
        <w:rPr>
          <w:rFonts w:ascii="Times New Roman" w:hAnsi="Times New Roman" w:cs="Times New Roman"/>
        </w:rPr>
        <w:t xml:space="preserve"> : </w:t>
      </w:r>
      <w:r w:rsidR="00DB1E7B">
        <w:rPr>
          <w:rFonts w:ascii="Times New Roman" w:hAnsi="Times New Roman" w:cs="Times New Roman"/>
        </w:rPr>
        <w:t xml:space="preserve">         </w:t>
      </w:r>
      <w:r w:rsidR="008A54B2">
        <w:rPr>
          <w:rFonts w:ascii="Times New Roman" w:hAnsi="Times New Roman" w:cs="Times New Roman"/>
        </w:rPr>
        <w:t>09</w:t>
      </w:r>
      <w:r w:rsidR="00216E31">
        <w:rPr>
          <w:rFonts w:ascii="Times New Roman" w:hAnsi="Times New Roman" w:cs="Times New Roman"/>
        </w:rPr>
        <w:t>/03/2023</w:t>
      </w:r>
    </w:p>
    <w:p w14:paraId="6C57B96F" w14:textId="40181D2C" w:rsidR="00DD0B5B" w:rsidRDefault="00DD0B5B" w:rsidP="003B2DBB">
      <w:pPr>
        <w:pBdr>
          <w:top w:val="single" w:sz="4" w:space="19" w:color="auto"/>
          <w:left w:val="single" w:sz="4" w:space="4" w:color="auto"/>
          <w:bottom w:val="single" w:sz="4" w:space="1" w:color="auto"/>
          <w:right w:val="single" w:sz="4" w:space="4" w:color="auto"/>
        </w:pBdr>
        <w:jc w:val="both"/>
        <w:rPr>
          <w:rFonts w:ascii="Times New Roman" w:hAnsi="Times New Roman" w:cs="Times New Roman"/>
        </w:rPr>
      </w:pPr>
      <w:r w:rsidRPr="00231B5B">
        <w:rPr>
          <w:rFonts w:ascii="Times New Roman" w:hAnsi="Times New Roman" w:cs="Times New Roman"/>
          <w:b/>
        </w:rPr>
        <w:t>Date de clôture des candidatures</w:t>
      </w:r>
      <w:r w:rsidR="004A04C7" w:rsidRPr="00AE46FC">
        <w:rPr>
          <w:rFonts w:ascii="Times New Roman" w:hAnsi="Times New Roman" w:cs="Times New Roman"/>
        </w:rPr>
        <w:t> :</w:t>
      </w:r>
      <w:r w:rsidR="00F81149">
        <w:rPr>
          <w:rFonts w:ascii="Times New Roman" w:hAnsi="Times New Roman" w:cs="Times New Roman"/>
        </w:rPr>
        <w:t xml:space="preserve"> </w:t>
      </w:r>
      <w:r w:rsidR="006815A4">
        <w:rPr>
          <w:rFonts w:ascii="Times New Roman" w:hAnsi="Times New Roman" w:cs="Times New Roman"/>
        </w:rPr>
        <w:t xml:space="preserve">  </w:t>
      </w:r>
      <w:r w:rsidR="00DB1E7B">
        <w:rPr>
          <w:rFonts w:ascii="Times New Roman" w:hAnsi="Times New Roman" w:cs="Times New Roman"/>
        </w:rPr>
        <w:t xml:space="preserve"> </w:t>
      </w:r>
      <w:r w:rsidR="00216E31" w:rsidRPr="00DE0D92">
        <w:rPr>
          <w:rFonts w:ascii="Times New Roman" w:hAnsi="Times New Roman" w:cs="Times New Roman"/>
          <w:highlight w:val="yellow"/>
        </w:rPr>
        <w:t>02/05/2023</w:t>
      </w:r>
    </w:p>
    <w:p w14:paraId="7C71BE6C" w14:textId="4ADCF280" w:rsidR="00DB4E4D" w:rsidRPr="00AE46FC" w:rsidRDefault="00DB4E4D" w:rsidP="003B2DBB">
      <w:pPr>
        <w:pBdr>
          <w:top w:val="single" w:sz="4" w:space="19" w:color="auto"/>
          <w:left w:val="single" w:sz="4" w:space="4" w:color="auto"/>
          <w:bottom w:val="single" w:sz="4" w:space="1" w:color="auto"/>
          <w:right w:val="single" w:sz="4" w:space="4" w:color="auto"/>
        </w:pBdr>
        <w:jc w:val="both"/>
        <w:rPr>
          <w:rFonts w:ascii="Times New Roman" w:hAnsi="Times New Roman" w:cs="Times New Roman"/>
        </w:rPr>
      </w:pPr>
      <w:r w:rsidRPr="00DB4E4D">
        <w:rPr>
          <w:rFonts w:ascii="Times New Roman" w:hAnsi="Times New Roman" w:cs="Times New Roman"/>
          <w:b/>
        </w:rPr>
        <w:t>Date de sélection de l’équipe projet</w:t>
      </w:r>
      <w:r>
        <w:rPr>
          <w:rFonts w:ascii="Times New Roman" w:hAnsi="Times New Roman" w:cs="Times New Roman"/>
        </w:rPr>
        <w:t> </w:t>
      </w:r>
      <w:r w:rsidR="00E707DD">
        <w:rPr>
          <w:rFonts w:ascii="Times New Roman" w:hAnsi="Times New Roman" w:cs="Times New Roman"/>
        </w:rPr>
        <w:t>(</w:t>
      </w:r>
      <w:r w:rsidR="00E707DD" w:rsidRPr="00837D51">
        <w:rPr>
          <w:rFonts w:ascii="Times New Roman" w:hAnsi="Times New Roman" w:cs="Times New Roman"/>
          <w:i/>
        </w:rPr>
        <w:t xml:space="preserve">l’équipe projet </w:t>
      </w:r>
      <w:r w:rsidR="005E76BA" w:rsidRPr="00837D51">
        <w:rPr>
          <w:rFonts w:ascii="Times New Roman" w:hAnsi="Times New Roman" w:cs="Times New Roman"/>
          <w:i/>
        </w:rPr>
        <w:t xml:space="preserve">sélectionnée </w:t>
      </w:r>
      <w:r w:rsidR="00E707DD" w:rsidRPr="00837D51">
        <w:rPr>
          <w:rFonts w:ascii="Times New Roman" w:hAnsi="Times New Roman" w:cs="Times New Roman"/>
          <w:i/>
        </w:rPr>
        <w:t>pourra</w:t>
      </w:r>
      <w:r w:rsidR="00FD151D">
        <w:rPr>
          <w:rFonts w:ascii="Times New Roman" w:hAnsi="Times New Roman" w:cs="Times New Roman"/>
          <w:i/>
        </w:rPr>
        <w:t xml:space="preserve"> le cas échéant</w:t>
      </w:r>
      <w:r w:rsidR="00E707DD" w:rsidRPr="00837D51">
        <w:rPr>
          <w:rFonts w:ascii="Times New Roman" w:hAnsi="Times New Roman" w:cs="Times New Roman"/>
          <w:i/>
        </w:rPr>
        <w:t xml:space="preserve"> </w:t>
      </w:r>
      <w:r w:rsidR="005E76BA" w:rsidRPr="00837D51">
        <w:rPr>
          <w:rFonts w:ascii="Times New Roman" w:hAnsi="Times New Roman" w:cs="Times New Roman"/>
          <w:i/>
        </w:rPr>
        <w:t>regrouper</w:t>
      </w:r>
      <w:r w:rsidR="00E707DD" w:rsidRPr="00837D51">
        <w:rPr>
          <w:rFonts w:ascii="Times New Roman" w:hAnsi="Times New Roman" w:cs="Times New Roman"/>
          <w:i/>
        </w:rPr>
        <w:t xml:space="preserve"> plusieurs </w:t>
      </w:r>
      <w:r w:rsidR="00D80473">
        <w:rPr>
          <w:rFonts w:ascii="Times New Roman" w:hAnsi="Times New Roman" w:cs="Times New Roman"/>
          <w:i/>
        </w:rPr>
        <w:t>équipes candidates</w:t>
      </w:r>
      <w:r w:rsidR="00D80473" w:rsidRPr="00837D51">
        <w:rPr>
          <w:rFonts w:ascii="Times New Roman" w:hAnsi="Times New Roman" w:cs="Times New Roman"/>
          <w:i/>
        </w:rPr>
        <w:t xml:space="preserve"> </w:t>
      </w:r>
      <w:r w:rsidR="00064C01" w:rsidRPr="00837D51">
        <w:rPr>
          <w:rFonts w:ascii="Times New Roman" w:hAnsi="Times New Roman" w:cs="Times New Roman"/>
          <w:i/>
        </w:rPr>
        <w:t>à la suite de</w:t>
      </w:r>
      <w:r w:rsidR="00D82E59">
        <w:rPr>
          <w:rFonts w:ascii="Times New Roman" w:hAnsi="Times New Roman" w:cs="Times New Roman"/>
          <w:i/>
        </w:rPr>
        <w:t xml:space="preserve"> la</w:t>
      </w:r>
      <w:r w:rsidR="00064C01" w:rsidRPr="00837D51">
        <w:rPr>
          <w:rFonts w:ascii="Times New Roman" w:hAnsi="Times New Roman" w:cs="Times New Roman"/>
          <w:i/>
        </w:rPr>
        <w:t xml:space="preserve"> sélection</w:t>
      </w:r>
      <w:r w:rsidR="00C95DB2">
        <w:rPr>
          <w:rFonts w:ascii="Times New Roman" w:hAnsi="Times New Roman" w:cs="Times New Roman"/>
          <w:i/>
        </w:rPr>
        <w:t xml:space="preserve"> effectuée par le Comité National des Coopérations Interprofessionnelles</w:t>
      </w:r>
      <w:r w:rsidR="002C2194">
        <w:rPr>
          <w:rFonts w:ascii="Times New Roman" w:hAnsi="Times New Roman" w:cs="Times New Roman"/>
          <w:i/>
        </w:rPr>
        <w:t xml:space="preserve"> - CNCI</w:t>
      </w:r>
      <w:r w:rsidR="00E707DD">
        <w:rPr>
          <w:rFonts w:ascii="Times New Roman" w:hAnsi="Times New Roman" w:cs="Times New Roman"/>
        </w:rPr>
        <w:t>)</w:t>
      </w:r>
      <w:r w:rsidR="00DB1E7B">
        <w:rPr>
          <w:rFonts w:ascii="Times New Roman" w:hAnsi="Times New Roman" w:cs="Times New Roman"/>
        </w:rPr>
        <w:t xml:space="preserve"> : </w:t>
      </w:r>
      <w:r w:rsidR="00DE0D92" w:rsidRPr="00DE0D92">
        <w:rPr>
          <w:rFonts w:ascii="Times New Roman" w:hAnsi="Times New Roman" w:cs="Times New Roman"/>
          <w:highlight w:val="yellow"/>
        </w:rPr>
        <w:t>début mai</w:t>
      </w:r>
      <w:r w:rsidR="00DB1E7B" w:rsidRPr="00DE0D92">
        <w:rPr>
          <w:rFonts w:ascii="Times New Roman" w:hAnsi="Times New Roman" w:cs="Times New Roman"/>
          <w:highlight w:val="yellow"/>
        </w:rPr>
        <w:t xml:space="preserve"> 2023</w:t>
      </w:r>
      <w:r>
        <w:rPr>
          <w:rFonts w:ascii="Times New Roman" w:hAnsi="Times New Roman" w:cs="Times New Roman"/>
        </w:rPr>
        <w:t xml:space="preserve"> </w:t>
      </w:r>
    </w:p>
    <w:p w14:paraId="2DB4B708" w14:textId="7B85501F" w:rsidR="006937A5" w:rsidRDefault="00F21512" w:rsidP="003B2DBB">
      <w:pPr>
        <w:pBdr>
          <w:top w:val="single" w:sz="4" w:space="19" w:color="auto"/>
          <w:left w:val="single" w:sz="4" w:space="4" w:color="auto"/>
          <w:bottom w:val="single" w:sz="4" w:space="1" w:color="auto"/>
          <w:right w:val="single" w:sz="4" w:space="4" w:color="auto"/>
        </w:pBdr>
        <w:jc w:val="both"/>
        <w:rPr>
          <w:rFonts w:ascii="Times New Roman" w:hAnsi="Times New Roman" w:cs="Times New Roman"/>
        </w:rPr>
      </w:pPr>
      <w:r w:rsidRPr="000245F6">
        <w:rPr>
          <w:rFonts w:ascii="Times New Roman" w:hAnsi="Times New Roman" w:cs="Times New Roman"/>
          <w:b/>
        </w:rPr>
        <w:t>Candidature</w:t>
      </w:r>
      <w:r w:rsidRPr="00AE46FC">
        <w:rPr>
          <w:rFonts w:ascii="Times New Roman" w:hAnsi="Times New Roman" w:cs="Times New Roman"/>
        </w:rPr>
        <w:t> :</w:t>
      </w:r>
      <w:r w:rsidR="00212757" w:rsidRPr="00AE46FC">
        <w:rPr>
          <w:rFonts w:ascii="Times New Roman" w:hAnsi="Times New Roman" w:cs="Times New Roman"/>
        </w:rPr>
        <w:t xml:space="preserve"> </w:t>
      </w:r>
      <w:r w:rsidR="00EE1643">
        <w:rPr>
          <w:rFonts w:ascii="Times New Roman" w:hAnsi="Times New Roman" w:cs="Times New Roman"/>
        </w:rPr>
        <w:t xml:space="preserve">toute équipe composée de professionnels de santé directement concernés par l’AMI </w:t>
      </w:r>
      <w:r w:rsidR="005A79F2">
        <w:rPr>
          <w:rFonts w:ascii="Times New Roman" w:hAnsi="Times New Roman" w:cs="Times New Roman"/>
        </w:rPr>
        <w:t xml:space="preserve">(cf. </w:t>
      </w:r>
      <w:r w:rsidR="00EC3CAC">
        <w:rPr>
          <w:rFonts w:ascii="Times New Roman" w:hAnsi="Times New Roman" w:cs="Times New Roman"/>
        </w:rPr>
        <w:t>rubrique « </w:t>
      </w:r>
      <w:r w:rsidR="005A79F2">
        <w:rPr>
          <w:rFonts w:ascii="Times New Roman" w:hAnsi="Times New Roman" w:cs="Times New Roman"/>
        </w:rPr>
        <w:t>professions</w:t>
      </w:r>
      <w:r w:rsidR="00EC3CAC">
        <w:rPr>
          <w:rFonts w:ascii="Times New Roman" w:hAnsi="Times New Roman" w:cs="Times New Roman"/>
        </w:rPr>
        <w:t xml:space="preserve"> concernées »</w:t>
      </w:r>
      <w:r w:rsidR="005A79F2">
        <w:rPr>
          <w:rFonts w:ascii="Times New Roman" w:hAnsi="Times New Roman" w:cs="Times New Roman"/>
        </w:rPr>
        <w:t xml:space="preserve">) </w:t>
      </w:r>
      <w:r w:rsidR="00EE1643">
        <w:rPr>
          <w:rFonts w:ascii="Times New Roman" w:hAnsi="Times New Roman" w:cs="Times New Roman"/>
        </w:rPr>
        <w:t>et v</w:t>
      </w:r>
      <w:r w:rsidR="00FF0E41">
        <w:rPr>
          <w:rFonts w:ascii="Times New Roman" w:hAnsi="Times New Roman" w:cs="Times New Roman"/>
        </w:rPr>
        <w:t xml:space="preserve">olontaire pour rédiger à la suite de la sélection, </w:t>
      </w:r>
      <w:r w:rsidR="006937A5">
        <w:rPr>
          <w:rFonts w:ascii="Times New Roman" w:hAnsi="Times New Roman" w:cs="Times New Roman"/>
        </w:rPr>
        <w:t>le projet définitif du protocole de coopération.</w:t>
      </w:r>
    </w:p>
    <w:p w14:paraId="457CC0B6" w14:textId="1620696A" w:rsidR="00BD21EF" w:rsidRPr="00AE46FC" w:rsidRDefault="006937A5" w:rsidP="003B2DBB">
      <w:pPr>
        <w:pBdr>
          <w:top w:val="single" w:sz="4" w:space="19" w:color="auto"/>
          <w:left w:val="single" w:sz="4" w:space="4" w:color="auto"/>
          <w:bottom w:val="single" w:sz="4" w:space="1" w:color="auto"/>
          <w:right w:val="single" w:sz="4" w:space="4" w:color="auto"/>
        </w:pBdr>
        <w:jc w:val="both"/>
        <w:rPr>
          <w:rFonts w:ascii="Times New Roman" w:hAnsi="Times New Roman" w:cs="Times New Roman"/>
        </w:rPr>
      </w:pPr>
      <w:r w:rsidRPr="001F662D">
        <w:rPr>
          <w:rFonts w:ascii="Times New Roman" w:hAnsi="Times New Roman" w:cs="Times New Roman"/>
          <w:b/>
        </w:rPr>
        <w:t>Engagement de l’équipe candidate</w:t>
      </w:r>
      <w:r>
        <w:rPr>
          <w:rFonts w:ascii="Times New Roman" w:hAnsi="Times New Roman" w:cs="Times New Roman"/>
        </w:rPr>
        <w:t> : élaborer le</w:t>
      </w:r>
      <w:r w:rsidRPr="006937A5">
        <w:rPr>
          <w:rFonts w:ascii="Times New Roman" w:hAnsi="Times New Roman" w:cs="Times New Roman"/>
        </w:rPr>
        <w:t xml:space="preserve"> protocole avec l’appui du Comité National des Coopérations Interprofessionnelles </w:t>
      </w:r>
      <w:r w:rsidR="008068D8">
        <w:rPr>
          <w:rFonts w:ascii="Times New Roman" w:hAnsi="Times New Roman" w:cs="Times New Roman"/>
        </w:rPr>
        <w:t>(CNCI)</w:t>
      </w:r>
      <w:r w:rsidR="00BA24EA">
        <w:rPr>
          <w:rFonts w:ascii="Times New Roman" w:hAnsi="Times New Roman" w:cs="Times New Roman"/>
        </w:rPr>
        <w:t xml:space="preserve">, </w:t>
      </w:r>
      <w:r w:rsidR="00BA24EA" w:rsidRPr="00DB1E7B">
        <w:rPr>
          <w:rFonts w:ascii="Times New Roman" w:hAnsi="Times New Roman" w:cs="Times New Roman"/>
        </w:rPr>
        <w:t>et</w:t>
      </w:r>
      <w:r w:rsidR="00AE5463" w:rsidRPr="00DB1E7B">
        <w:rPr>
          <w:rFonts w:ascii="Times New Roman" w:hAnsi="Times New Roman" w:cs="Times New Roman"/>
        </w:rPr>
        <w:t xml:space="preserve"> </w:t>
      </w:r>
      <w:r w:rsidR="00BA24EA" w:rsidRPr="00DB1E7B">
        <w:rPr>
          <w:rFonts w:ascii="Times New Roman" w:hAnsi="Times New Roman" w:cs="Times New Roman"/>
        </w:rPr>
        <w:t>des conseils nationaux professionnels et des ordres des professions concernées,</w:t>
      </w:r>
      <w:r w:rsidR="008068D8">
        <w:rPr>
          <w:rFonts w:ascii="Times New Roman" w:hAnsi="Times New Roman" w:cs="Times New Roman"/>
        </w:rPr>
        <w:t xml:space="preserve"> </w:t>
      </w:r>
      <w:r w:rsidRPr="006937A5">
        <w:rPr>
          <w:rFonts w:ascii="Times New Roman" w:hAnsi="Times New Roman" w:cs="Times New Roman"/>
        </w:rPr>
        <w:t>et en coopération avec les autres équipes éventuellement sélectionnées</w:t>
      </w:r>
      <w:r w:rsidR="00DB1E7B">
        <w:rPr>
          <w:rFonts w:ascii="Times New Roman" w:hAnsi="Times New Roman" w:cs="Times New Roman"/>
        </w:rPr>
        <w:t>.</w:t>
      </w:r>
      <w:r w:rsidRPr="006937A5" w:rsidDel="006937A5">
        <w:rPr>
          <w:rFonts w:ascii="Times New Roman" w:hAnsi="Times New Roman" w:cs="Times New Roman"/>
        </w:rPr>
        <w:t xml:space="preserve"> </w:t>
      </w:r>
    </w:p>
    <w:p w14:paraId="064AAD19" w14:textId="2B6D75A0" w:rsidR="008068D8" w:rsidRDefault="008068D8" w:rsidP="003B2DBB">
      <w:pPr>
        <w:pBdr>
          <w:top w:val="single" w:sz="4" w:space="19"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b/>
        </w:rPr>
        <w:t xml:space="preserve">Critères de </w:t>
      </w:r>
      <w:r w:rsidR="004B36C4">
        <w:rPr>
          <w:rFonts w:ascii="Times New Roman" w:hAnsi="Times New Roman" w:cs="Times New Roman"/>
          <w:b/>
        </w:rPr>
        <w:t xml:space="preserve">recevabilité et de </w:t>
      </w:r>
      <w:r>
        <w:rPr>
          <w:rFonts w:ascii="Times New Roman" w:hAnsi="Times New Roman" w:cs="Times New Roman"/>
          <w:b/>
        </w:rPr>
        <w:t>s</w:t>
      </w:r>
      <w:r w:rsidR="00F21512" w:rsidRPr="000245F6">
        <w:rPr>
          <w:rFonts w:ascii="Times New Roman" w:hAnsi="Times New Roman" w:cs="Times New Roman"/>
          <w:b/>
        </w:rPr>
        <w:t>élection des candidatures</w:t>
      </w:r>
      <w:r w:rsidR="00F21512" w:rsidRPr="00AE46FC">
        <w:rPr>
          <w:rFonts w:ascii="Times New Roman" w:hAnsi="Times New Roman" w:cs="Times New Roman"/>
        </w:rPr>
        <w:t> :</w:t>
      </w:r>
      <w:r w:rsidR="002B0288" w:rsidRPr="00AE46FC">
        <w:rPr>
          <w:rFonts w:ascii="Times New Roman" w:hAnsi="Times New Roman" w:cs="Times New Roman"/>
        </w:rPr>
        <w:t xml:space="preserve"> sous réserve de la complétude du formulaire à renseigner en </w:t>
      </w:r>
      <w:r w:rsidR="00FD151D">
        <w:rPr>
          <w:rFonts w:ascii="Times New Roman" w:hAnsi="Times New Roman" w:cs="Times New Roman"/>
        </w:rPr>
        <w:t>annexe</w:t>
      </w:r>
      <w:r w:rsidR="002B0288" w:rsidRPr="00AE46FC">
        <w:rPr>
          <w:rFonts w:ascii="Times New Roman" w:hAnsi="Times New Roman" w:cs="Times New Roman"/>
        </w:rPr>
        <w:t xml:space="preserve"> et des pièces obligatoires </w:t>
      </w:r>
      <w:r w:rsidR="00CB133F">
        <w:rPr>
          <w:rFonts w:ascii="Times New Roman" w:hAnsi="Times New Roman" w:cs="Times New Roman"/>
        </w:rPr>
        <w:t>à fournir</w:t>
      </w:r>
      <w:r w:rsidR="00060E94" w:rsidRPr="00AE46FC">
        <w:rPr>
          <w:rFonts w:ascii="Times New Roman" w:hAnsi="Times New Roman" w:cs="Times New Roman"/>
        </w:rPr>
        <w:t xml:space="preserve">, les </w:t>
      </w:r>
      <w:r w:rsidR="00FD151D">
        <w:rPr>
          <w:rFonts w:ascii="Times New Roman" w:hAnsi="Times New Roman" w:cs="Times New Roman"/>
        </w:rPr>
        <w:t>réponses</w:t>
      </w:r>
      <w:r w:rsidR="00060E94" w:rsidRPr="00AE46FC">
        <w:rPr>
          <w:rFonts w:ascii="Times New Roman" w:hAnsi="Times New Roman" w:cs="Times New Roman"/>
        </w:rPr>
        <w:t xml:space="preserve"> seront étudié</w:t>
      </w:r>
      <w:r w:rsidR="00FD151D">
        <w:rPr>
          <w:rFonts w:ascii="Times New Roman" w:hAnsi="Times New Roman" w:cs="Times New Roman"/>
        </w:rPr>
        <w:t>e</w:t>
      </w:r>
      <w:r w:rsidR="00060E94" w:rsidRPr="00AE46FC">
        <w:rPr>
          <w:rFonts w:ascii="Times New Roman" w:hAnsi="Times New Roman" w:cs="Times New Roman"/>
        </w:rPr>
        <w:t xml:space="preserve">s par le </w:t>
      </w:r>
      <w:r>
        <w:rPr>
          <w:rFonts w:ascii="Times New Roman" w:hAnsi="Times New Roman" w:cs="Times New Roman"/>
        </w:rPr>
        <w:t>CNCI</w:t>
      </w:r>
      <w:r w:rsidR="00060E94" w:rsidRPr="00AE46FC">
        <w:rPr>
          <w:rFonts w:ascii="Times New Roman" w:hAnsi="Times New Roman" w:cs="Times New Roman"/>
        </w:rPr>
        <w:t xml:space="preserve"> </w:t>
      </w:r>
      <w:r w:rsidR="00FD151D">
        <w:rPr>
          <w:rFonts w:ascii="Times New Roman" w:hAnsi="Times New Roman" w:cs="Times New Roman"/>
        </w:rPr>
        <w:t xml:space="preserve">dont le fonctionnement est </w:t>
      </w:r>
      <w:r w:rsidR="00C95DB2">
        <w:rPr>
          <w:rFonts w:ascii="Times New Roman" w:hAnsi="Times New Roman" w:cs="Times New Roman"/>
        </w:rPr>
        <w:t>fixé par le décret n° 2020-140 du 21 février 2020</w:t>
      </w:r>
      <w:r>
        <w:rPr>
          <w:rFonts w:ascii="Times New Roman" w:hAnsi="Times New Roman" w:cs="Times New Roman"/>
        </w:rPr>
        <w:t> </w:t>
      </w:r>
      <w:r w:rsidR="004B36C4">
        <w:rPr>
          <w:rFonts w:ascii="Times New Roman" w:hAnsi="Times New Roman" w:cs="Times New Roman"/>
        </w:rPr>
        <w:t xml:space="preserve">selon </w:t>
      </w:r>
      <w:r>
        <w:rPr>
          <w:rFonts w:ascii="Times New Roman" w:hAnsi="Times New Roman" w:cs="Times New Roman"/>
        </w:rPr>
        <w:t>:</w:t>
      </w:r>
    </w:p>
    <w:p w14:paraId="1AD8B0AF" w14:textId="752CFA3A" w:rsidR="008068D8" w:rsidRPr="008068D8" w:rsidRDefault="00B03826" w:rsidP="003B2DBB">
      <w:pPr>
        <w:pBdr>
          <w:top w:val="single" w:sz="4" w:space="19" w:color="auto"/>
          <w:left w:val="single" w:sz="4" w:space="4" w:color="auto"/>
          <w:bottom w:val="single" w:sz="4" w:space="1" w:color="auto"/>
          <w:right w:val="single" w:sz="4" w:space="4" w:color="auto"/>
        </w:pBdr>
        <w:spacing w:after="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le r</w:t>
      </w:r>
      <w:r w:rsidR="008068D8" w:rsidRPr="008068D8">
        <w:rPr>
          <w:rFonts w:ascii="Times New Roman" w:hAnsi="Times New Roman" w:cs="Times New Roman"/>
        </w:rPr>
        <w:t>espect du délai de réponse</w:t>
      </w:r>
      <w:r w:rsidR="002F22B8">
        <w:rPr>
          <w:rFonts w:ascii="Times New Roman" w:hAnsi="Times New Roman" w:cs="Times New Roman"/>
        </w:rPr>
        <w:t> ;</w:t>
      </w:r>
    </w:p>
    <w:p w14:paraId="05FEE6CB" w14:textId="5F9AF069" w:rsidR="008068D8" w:rsidRDefault="008068D8" w:rsidP="003B2DBB">
      <w:pPr>
        <w:pBdr>
          <w:top w:val="single" w:sz="4" w:space="19" w:color="auto"/>
          <w:left w:val="single" w:sz="4" w:space="4" w:color="auto"/>
          <w:bottom w:val="single" w:sz="4" w:space="1" w:color="auto"/>
          <w:right w:val="single" w:sz="4" w:space="4" w:color="auto"/>
        </w:pBdr>
        <w:spacing w:after="0"/>
        <w:jc w:val="both"/>
        <w:rPr>
          <w:rFonts w:ascii="Times New Roman" w:eastAsia="Times New Roman" w:hAnsi="Times New Roman" w:cs="Times New Roman"/>
        </w:rPr>
      </w:pPr>
      <w:r w:rsidRPr="008068D8">
        <w:rPr>
          <w:rFonts w:ascii="Times New Roman" w:hAnsi="Times New Roman" w:cs="Times New Roman"/>
        </w:rPr>
        <w:t>b.</w:t>
      </w:r>
      <w:r w:rsidRPr="008068D8">
        <w:rPr>
          <w:rFonts w:ascii="Times New Roman" w:hAnsi="Times New Roman" w:cs="Times New Roman"/>
        </w:rPr>
        <w:tab/>
      </w:r>
      <w:r w:rsidR="00B03826">
        <w:rPr>
          <w:rFonts w:ascii="Times New Roman" w:hAnsi="Times New Roman" w:cs="Times New Roman"/>
        </w:rPr>
        <w:t>la complétude</w:t>
      </w:r>
      <w:r w:rsidRPr="008068D8">
        <w:rPr>
          <w:rFonts w:ascii="Times New Roman" w:hAnsi="Times New Roman" w:cs="Times New Roman"/>
        </w:rPr>
        <w:t xml:space="preserve"> de la réponse </w:t>
      </w:r>
      <w:r w:rsidR="005422AC" w:rsidRPr="00290640">
        <w:rPr>
          <w:rFonts w:ascii="Times New Roman" w:eastAsia="Times New Roman" w:hAnsi="Times New Roman" w:cs="Times New Roman"/>
        </w:rPr>
        <w:t xml:space="preserve">à renseigner directement sur la </w:t>
      </w:r>
      <w:r w:rsidR="005422AC" w:rsidRPr="00290640">
        <w:rPr>
          <w:rFonts w:ascii="Times New Roman" w:eastAsia="Times New Roman" w:hAnsi="Times New Roman" w:cs="Times New Roman"/>
          <w:b/>
          <w:u w:val="single"/>
        </w:rPr>
        <w:t>plateforme en suivant le lien</w:t>
      </w:r>
      <w:r w:rsidR="005422AC">
        <w:rPr>
          <w:rFonts w:ascii="Times New Roman" w:eastAsia="Times New Roman" w:hAnsi="Times New Roman" w:cs="Times New Roman"/>
          <w:b/>
          <w:u w:val="single"/>
        </w:rPr>
        <w:t xml:space="preserve"> suivant</w:t>
      </w:r>
      <w:r w:rsidR="005422AC" w:rsidRPr="00290640">
        <w:rPr>
          <w:rFonts w:ascii="Times New Roman" w:eastAsia="Times New Roman" w:hAnsi="Times New Roman" w:cs="Times New Roman"/>
        </w:rPr>
        <w:t xml:space="preserve"> :</w:t>
      </w:r>
    </w:p>
    <w:p w14:paraId="5605D784" w14:textId="4DDE0161" w:rsidR="005422AC" w:rsidRDefault="005422AC" w:rsidP="003B2DBB">
      <w:pPr>
        <w:pBdr>
          <w:top w:val="single" w:sz="4" w:space="19" w:color="auto"/>
          <w:left w:val="single" w:sz="4" w:space="4" w:color="auto"/>
          <w:bottom w:val="single" w:sz="4" w:space="1" w:color="auto"/>
          <w:right w:val="single" w:sz="4" w:space="4" w:color="auto"/>
        </w:pBdr>
        <w:spacing w:after="0"/>
        <w:jc w:val="both"/>
        <w:rPr>
          <w:rFonts w:ascii="Times New Roman" w:eastAsia="Times New Roman" w:hAnsi="Times New Roman" w:cs="Times New Roman"/>
        </w:rPr>
      </w:pPr>
    </w:p>
    <w:p w14:paraId="5259B922" w14:textId="3650884B" w:rsidR="00FE3E68" w:rsidRDefault="00FE3E68" w:rsidP="00FE3E68">
      <w:pPr>
        <w:pBdr>
          <w:top w:val="single" w:sz="4" w:space="19" w:color="auto"/>
          <w:left w:val="single" w:sz="4" w:space="4" w:color="auto"/>
          <w:bottom w:val="single" w:sz="4" w:space="1" w:color="auto"/>
          <w:right w:val="single" w:sz="4" w:space="4" w:color="auto"/>
        </w:pBdr>
        <w:spacing w:after="0"/>
        <w:jc w:val="center"/>
        <w:rPr>
          <w:rFonts w:ascii="Calibri" w:eastAsia="Calibri" w:hAnsi="Calibri" w:cs="Times New Roman"/>
          <w:u w:val="single"/>
        </w:rPr>
      </w:pPr>
      <w:hyperlink r:id="rId8" w:history="1">
        <w:r w:rsidRPr="00FE3E68">
          <w:rPr>
            <w:rFonts w:ascii="Calibri" w:eastAsia="Calibri" w:hAnsi="Calibri" w:cs="Times New Roman"/>
            <w:color w:val="0563C1"/>
            <w:u w:val="single"/>
            <w:shd w:val="clear" w:color="auto" w:fill="F5F5FE"/>
          </w:rPr>
          <w:t>https://www.demarches-simplifiees.fr/commencer/ami-coop-expertise-infirmiere-soins-palliatifs</w:t>
        </w:r>
      </w:hyperlink>
    </w:p>
    <w:p w14:paraId="691276BA" w14:textId="77777777" w:rsidR="00FE3E68" w:rsidRDefault="00FE3E68" w:rsidP="003B2DBB">
      <w:pPr>
        <w:pBdr>
          <w:top w:val="single" w:sz="4" w:space="19" w:color="auto"/>
          <w:left w:val="single" w:sz="4" w:space="4" w:color="auto"/>
          <w:bottom w:val="single" w:sz="4" w:space="1" w:color="auto"/>
          <w:right w:val="single" w:sz="4" w:space="4" w:color="auto"/>
        </w:pBdr>
        <w:spacing w:after="0"/>
        <w:jc w:val="both"/>
        <w:rPr>
          <w:rFonts w:ascii="Calibri" w:eastAsia="Calibri" w:hAnsi="Calibri" w:cs="Times New Roman"/>
          <w:u w:val="single"/>
        </w:rPr>
      </w:pPr>
    </w:p>
    <w:p w14:paraId="1EE8BC96" w14:textId="10AD729C" w:rsidR="008068D8" w:rsidRPr="00FE3E68" w:rsidRDefault="00B03826" w:rsidP="003B2DBB">
      <w:pPr>
        <w:pBdr>
          <w:top w:val="single" w:sz="4" w:space="19" w:color="auto"/>
          <w:left w:val="single" w:sz="4" w:space="4" w:color="auto"/>
          <w:bottom w:val="single" w:sz="4" w:space="1" w:color="auto"/>
          <w:right w:val="single" w:sz="4" w:space="4" w:color="auto"/>
        </w:pBdr>
        <w:spacing w:after="0"/>
        <w:jc w:val="both"/>
        <w:rPr>
          <w:rFonts w:ascii="Calibri" w:eastAsia="Calibri" w:hAnsi="Calibri" w:cs="Times New Roman"/>
          <w:u w:val="single"/>
        </w:rPr>
      </w:pPr>
      <w:r>
        <w:rPr>
          <w:rFonts w:ascii="Times New Roman" w:hAnsi="Times New Roman" w:cs="Times New Roman"/>
        </w:rPr>
        <w:t>c.</w:t>
      </w:r>
      <w:r>
        <w:rPr>
          <w:rFonts w:ascii="Times New Roman" w:hAnsi="Times New Roman" w:cs="Times New Roman"/>
        </w:rPr>
        <w:tab/>
        <w:t>la c</w:t>
      </w:r>
      <w:r w:rsidR="008068D8" w:rsidRPr="008068D8">
        <w:rPr>
          <w:rFonts w:ascii="Times New Roman" w:hAnsi="Times New Roman" w:cs="Times New Roman"/>
        </w:rPr>
        <w:t>onformité du profil et de la composition de l’équipe aux objectifs du protocole de coopération</w:t>
      </w:r>
      <w:r w:rsidR="002F22B8">
        <w:rPr>
          <w:rFonts w:ascii="Times New Roman" w:hAnsi="Times New Roman" w:cs="Times New Roman"/>
        </w:rPr>
        <w:t> ;</w:t>
      </w:r>
    </w:p>
    <w:p w14:paraId="61977ADE" w14:textId="7C434F3E" w:rsidR="008068D8" w:rsidRPr="008068D8" w:rsidRDefault="00B03826" w:rsidP="003B2DBB">
      <w:pPr>
        <w:pBdr>
          <w:top w:val="single" w:sz="4" w:space="19" w:color="auto"/>
          <w:left w:val="single" w:sz="4" w:space="4" w:color="auto"/>
          <w:bottom w:val="single" w:sz="4" w:space="1" w:color="auto"/>
          <w:right w:val="single" w:sz="4" w:space="4" w:color="auto"/>
        </w:pBdr>
        <w:spacing w:after="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la c</w:t>
      </w:r>
      <w:r w:rsidR="008068D8" w:rsidRPr="008068D8">
        <w:rPr>
          <w:rFonts w:ascii="Times New Roman" w:hAnsi="Times New Roman" w:cs="Times New Roman"/>
        </w:rPr>
        <w:t>apacité à rédiger et à mettre en œuvre le protocole de coopération</w:t>
      </w:r>
      <w:r w:rsidR="002F22B8">
        <w:rPr>
          <w:rFonts w:ascii="Times New Roman" w:hAnsi="Times New Roman" w:cs="Times New Roman"/>
        </w:rPr>
        <w:t> ;</w:t>
      </w:r>
    </w:p>
    <w:p w14:paraId="0B516F38" w14:textId="0E9230B0" w:rsidR="008068D8" w:rsidRPr="008068D8" w:rsidRDefault="00B03826" w:rsidP="003B2DBB">
      <w:pPr>
        <w:pBdr>
          <w:top w:val="single" w:sz="4" w:space="19" w:color="auto"/>
          <w:left w:val="single" w:sz="4" w:space="4" w:color="auto"/>
          <w:bottom w:val="single" w:sz="4" w:space="1" w:color="auto"/>
          <w:right w:val="single" w:sz="4" w:space="4" w:color="auto"/>
        </w:pBdr>
        <w:spacing w:after="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la p</w:t>
      </w:r>
      <w:r w:rsidR="008068D8" w:rsidRPr="008068D8">
        <w:rPr>
          <w:rFonts w:ascii="Times New Roman" w:hAnsi="Times New Roman" w:cs="Times New Roman"/>
        </w:rPr>
        <w:t>ertinence des transferts d’actes et d’activités proposés par rapport aux objectifs du protocole</w:t>
      </w:r>
      <w:r w:rsidR="002F22B8">
        <w:rPr>
          <w:rFonts w:ascii="Times New Roman" w:hAnsi="Times New Roman" w:cs="Times New Roman"/>
        </w:rPr>
        <w:t> ;</w:t>
      </w:r>
    </w:p>
    <w:p w14:paraId="3CE56241" w14:textId="4A4AC7B6" w:rsidR="006937A5" w:rsidRDefault="00B03826" w:rsidP="003B2DBB">
      <w:pPr>
        <w:pBdr>
          <w:top w:val="single" w:sz="4" w:space="19" w:color="auto"/>
          <w:left w:val="single" w:sz="4" w:space="4" w:color="auto"/>
          <w:bottom w:val="single" w:sz="4" w:space="1" w:color="auto"/>
          <w:right w:val="single" w:sz="4" w:space="4" w:color="auto"/>
        </w:pBdr>
        <w:spacing w:after="0"/>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t>le r</w:t>
      </w:r>
      <w:r w:rsidR="008068D8" w:rsidRPr="008068D8">
        <w:rPr>
          <w:rFonts w:ascii="Times New Roman" w:hAnsi="Times New Roman" w:cs="Times New Roman"/>
        </w:rPr>
        <w:t>espect des exigences de qualité et de sécurit</w:t>
      </w:r>
      <w:r>
        <w:rPr>
          <w:rFonts w:ascii="Times New Roman" w:hAnsi="Times New Roman" w:cs="Times New Roman"/>
        </w:rPr>
        <w:t xml:space="preserve">é définies par le décret du 27 </w:t>
      </w:r>
      <w:r w:rsidR="008068D8" w:rsidRPr="008068D8">
        <w:rPr>
          <w:rFonts w:ascii="Times New Roman" w:hAnsi="Times New Roman" w:cs="Times New Roman"/>
        </w:rPr>
        <w:t>décembre 2019</w:t>
      </w:r>
      <w:r w:rsidR="002F22B8">
        <w:rPr>
          <w:rFonts w:ascii="Times New Roman" w:hAnsi="Times New Roman" w:cs="Times New Roman"/>
        </w:rPr>
        <w:t>.</w:t>
      </w:r>
    </w:p>
    <w:p w14:paraId="590173CA" w14:textId="77777777" w:rsidR="00A77941" w:rsidRPr="00AE46FC" w:rsidRDefault="00A77941" w:rsidP="003B2DBB">
      <w:pPr>
        <w:pBdr>
          <w:top w:val="single" w:sz="4" w:space="19" w:color="auto"/>
          <w:left w:val="single" w:sz="4" w:space="4" w:color="auto"/>
          <w:bottom w:val="single" w:sz="4" w:space="1" w:color="auto"/>
          <w:right w:val="single" w:sz="4" w:space="4" w:color="auto"/>
        </w:pBdr>
        <w:spacing w:after="0"/>
        <w:jc w:val="both"/>
        <w:rPr>
          <w:rFonts w:ascii="Times New Roman" w:hAnsi="Times New Roman" w:cs="Times New Roman"/>
        </w:rPr>
      </w:pPr>
    </w:p>
    <w:tbl>
      <w:tblPr>
        <w:tblStyle w:val="TableauGrille1Clair-Accentuation1"/>
        <w:tblW w:w="5000" w:type="pct"/>
        <w:tblLook w:val="04A0" w:firstRow="1" w:lastRow="0" w:firstColumn="1" w:lastColumn="0" w:noHBand="0" w:noVBand="1"/>
      </w:tblPr>
      <w:tblGrid>
        <w:gridCol w:w="3982"/>
        <w:gridCol w:w="6474"/>
      </w:tblGrid>
      <w:tr w:rsidR="00995C10" w:rsidRPr="00AE46FC" w14:paraId="37446388" w14:textId="77777777" w:rsidTr="00995C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4" w:type="pct"/>
            <w:vAlign w:val="center"/>
          </w:tcPr>
          <w:p w14:paraId="5C32D52E" w14:textId="70648F7F" w:rsidR="00995C10" w:rsidRPr="00AE46FC" w:rsidRDefault="00995C10" w:rsidP="00995C10">
            <w:pPr>
              <w:jc w:val="center"/>
              <w:rPr>
                <w:rFonts w:ascii="Times New Roman" w:hAnsi="Times New Roman" w:cs="Times New Roman"/>
                <w:sz w:val="24"/>
                <w:szCs w:val="24"/>
              </w:rPr>
            </w:pPr>
            <w:r w:rsidRPr="00AE46FC">
              <w:rPr>
                <w:rFonts w:ascii="Times New Roman" w:hAnsi="Times New Roman" w:cs="Times New Roman"/>
                <w:sz w:val="24"/>
                <w:szCs w:val="24"/>
              </w:rPr>
              <w:t>Rubriques</w:t>
            </w:r>
          </w:p>
        </w:tc>
        <w:tc>
          <w:tcPr>
            <w:tcW w:w="3096" w:type="pct"/>
            <w:vAlign w:val="center"/>
          </w:tcPr>
          <w:p w14:paraId="25292A31" w14:textId="7C99320C" w:rsidR="00995C10" w:rsidRPr="00AE46FC" w:rsidRDefault="00995C10" w:rsidP="00995C1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Description de l’AMI</w:t>
            </w:r>
          </w:p>
        </w:tc>
      </w:tr>
      <w:tr w:rsidR="00870FE1" w:rsidRPr="00AE46FC" w14:paraId="153E320E"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67902AE7" w14:textId="03BF6D59" w:rsidR="00870FE1" w:rsidRDefault="00870FE1" w:rsidP="00C5483A">
            <w:pPr>
              <w:jc w:val="both"/>
              <w:rPr>
                <w:rFonts w:ascii="Times New Roman" w:hAnsi="Times New Roman" w:cs="Times New Roman"/>
              </w:rPr>
            </w:pPr>
            <w:r w:rsidRPr="00713078">
              <w:rPr>
                <w:rFonts w:ascii="Times New Roman" w:hAnsi="Times New Roman" w:cs="Times New Roman"/>
              </w:rPr>
              <w:t>1</w:t>
            </w:r>
            <w:r>
              <w:rPr>
                <w:rFonts w:ascii="Times New Roman" w:hAnsi="Times New Roman" w:cs="Times New Roman"/>
              </w:rPr>
              <w:t>-</w:t>
            </w:r>
            <w:r w:rsidRPr="00713078">
              <w:rPr>
                <w:rFonts w:ascii="Times New Roman" w:hAnsi="Times New Roman" w:cs="Times New Roman"/>
              </w:rPr>
              <w:t xml:space="preserve"> Thématique ciblée</w:t>
            </w:r>
            <w:r>
              <w:rPr>
                <w:rFonts w:ascii="Times New Roman" w:hAnsi="Times New Roman" w:cs="Times New Roman"/>
              </w:rPr>
              <w:t xml:space="preserve"> / intitulé du protocole</w:t>
            </w:r>
          </w:p>
          <w:p w14:paraId="5F28D341" w14:textId="108A2E81" w:rsidR="00870FE1" w:rsidRPr="00713078" w:rsidRDefault="00870FE1" w:rsidP="00866349">
            <w:pPr>
              <w:tabs>
                <w:tab w:val="left" w:pos="3765"/>
              </w:tabs>
              <w:jc w:val="both"/>
              <w:rPr>
                <w:rFonts w:ascii="Times New Roman" w:hAnsi="Times New Roman" w:cs="Times New Roman"/>
              </w:rPr>
            </w:pPr>
            <w:r>
              <w:rPr>
                <w:rFonts w:ascii="Times New Roman" w:hAnsi="Times New Roman" w:cs="Times New Roman"/>
              </w:rPr>
              <w:tab/>
            </w:r>
          </w:p>
        </w:tc>
        <w:tc>
          <w:tcPr>
            <w:tcW w:w="3096" w:type="pct"/>
          </w:tcPr>
          <w:p w14:paraId="3C3D42F3" w14:textId="609114C5" w:rsidR="00870FE1" w:rsidRPr="00AE46FC" w:rsidRDefault="00744D4D" w:rsidP="00874F4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4D4D">
              <w:rPr>
                <w:rFonts w:ascii="Times New Roman" w:hAnsi="Times New Roman" w:cs="Times New Roman"/>
              </w:rPr>
              <w:t>Prise en charge des patients requérant des soins palliatifs par des infirmiers-</w:t>
            </w:r>
            <w:proofErr w:type="spellStart"/>
            <w:r w:rsidRPr="00744D4D">
              <w:rPr>
                <w:rFonts w:ascii="Times New Roman" w:hAnsi="Times New Roman" w:cs="Times New Roman"/>
              </w:rPr>
              <w:t>ières</w:t>
            </w:r>
            <w:proofErr w:type="spellEnd"/>
            <w:r w:rsidRPr="00744D4D">
              <w:rPr>
                <w:rFonts w:ascii="Times New Roman" w:hAnsi="Times New Roman" w:cs="Times New Roman"/>
              </w:rPr>
              <w:t xml:space="preserve"> experts</w:t>
            </w:r>
            <w:r>
              <w:rPr>
                <w:rFonts w:ascii="Times New Roman" w:hAnsi="Times New Roman" w:cs="Times New Roman"/>
              </w:rPr>
              <w:t>-es</w:t>
            </w:r>
            <w:r w:rsidRPr="00744D4D">
              <w:rPr>
                <w:rFonts w:ascii="Times New Roman" w:hAnsi="Times New Roman" w:cs="Times New Roman"/>
              </w:rPr>
              <w:t xml:space="preserve"> exerçant d</w:t>
            </w:r>
            <w:r w:rsidR="007365FD">
              <w:rPr>
                <w:rFonts w:ascii="Times New Roman" w:hAnsi="Times New Roman" w:cs="Times New Roman"/>
              </w:rPr>
              <w:t>ans la filière soins palliatifs</w:t>
            </w:r>
            <w:r w:rsidR="007365FD">
              <w:rPr>
                <w:rStyle w:val="Appelnotedebasdep"/>
                <w:rFonts w:ascii="Times New Roman" w:hAnsi="Times New Roman" w:cs="Times New Roman"/>
              </w:rPr>
              <w:footnoteReference w:id="1"/>
            </w:r>
            <w:r w:rsidRPr="00744D4D">
              <w:rPr>
                <w:rFonts w:ascii="Times New Roman" w:hAnsi="Times New Roman" w:cs="Times New Roman"/>
              </w:rPr>
              <w:t>, en coopération avec les médecins exerçant dans cette filière.</w:t>
            </w:r>
          </w:p>
        </w:tc>
      </w:tr>
      <w:tr w:rsidR="00870FE1" w:rsidRPr="00AE46FC" w14:paraId="24E109BC"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0E130B65" w14:textId="6F6EC432" w:rsidR="00870FE1" w:rsidRDefault="00870FE1" w:rsidP="00C5483A">
            <w:pPr>
              <w:jc w:val="both"/>
              <w:rPr>
                <w:rFonts w:ascii="Times New Roman" w:hAnsi="Times New Roman" w:cs="Times New Roman"/>
              </w:rPr>
            </w:pPr>
            <w:r w:rsidRPr="00C5483A">
              <w:rPr>
                <w:rFonts w:ascii="Times New Roman" w:hAnsi="Times New Roman" w:cs="Times New Roman"/>
              </w:rPr>
              <w:t>2- Objet/besoin de santé et/ou de prévention concerné par le protocole de coopération</w:t>
            </w:r>
          </w:p>
          <w:p w14:paraId="076993A6" w14:textId="77777777" w:rsidR="00870FE1" w:rsidRPr="00C5483A" w:rsidRDefault="00870FE1" w:rsidP="00C5483A">
            <w:pPr>
              <w:jc w:val="both"/>
              <w:rPr>
                <w:rFonts w:ascii="Times New Roman" w:hAnsi="Times New Roman" w:cs="Times New Roman"/>
              </w:rPr>
            </w:pPr>
          </w:p>
          <w:p w14:paraId="0BAD6AD8" w14:textId="79FD5C10" w:rsidR="00870FE1" w:rsidRPr="00C5483A" w:rsidRDefault="00870FE1" w:rsidP="00C5483A">
            <w:pPr>
              <w:jc w:val="both"/>
              <w:rPr>
                <w:rFonts w:ascii="Times New Roman" w:hAnsi="Times New Roman" w:cs="Times New Roman"/>
                <w:i/>
                <w:sz w:val="20"/>
                <w:szCs w:val="20"/>
              </w:rPr>
            </w:pPr>
          </w:p>
        </w:tc>
        <w:tc>
          <w:tcPr>
            <w:tcW w:w="3096" w:type="pct"/>
          </w:tcPr>
          <w:p w14:paraId="63381E3F" w14:textId="77777777" w:rsidR="00870BF0" w:rsidRPr="00870BF0" w:rsidRDefault="00870BF0"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lastRenderedPageBreak/>
              <w:t>Ce protocole vise à sécuriser et à étendre les compétences des infirmières expertes en soins palliatifs, dans un objectif de maillage territorial de la compétence en soins palliatifs.</w:t>
            </w:r>
          </w:p>
          <w:p w14:paraId="7AED41F5" w14:textId="24F4EF9F" w:rsidR="00870BF0" w:rsidRPr="00870BF0" w:rsidRDefault="00870BF0"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lastRenderedPageBreak/>
              <w:t xml:space="preserve">Il est attendu des </w:t>
            </w:r>
            <w:r w:rsidR="00E800C1">
              <w:rPr>
                <w:rFonts w:ascii="Times New Roman" w:hAnsi="Times New Roman" w:cs="Times New Roman"/>
              </w:rPr>
              <w:t>candidats</w:t>
            </w:r>
            <w:r w:rsidRPr="00870BF0">
              <w:rPr>
                <w:rFonts w:ascii="Times New Roman" w:hAnsi="Times New Roman" w:cs="Times New Roman"/>
              </w:rPr>
              <w:t xml:space="preserve"> à l’AMI qu’ils documentent particulièrement les points suivants</w:t>
            </w:r>
            <w:r w:rsidR="00E800C1">
              <w:rPr>
                <w:rFonts w:ascii="Times New Roman" w:hAnsi="Times New Roman" w:cs="Times New Roman"/>
              </w:rPr>
              <w:t xml:space="preserve"> </w:t>
            </w:r>
            <w:r w:rsidRPr="00870BF0">
              <w:rPr>
                <w:rFonts w:ascii="Times New Roman" w:hAnsi="Times New Roman" w:cs="Times New Roman"/>
              </w:rPr>
              <w:t xml:space="preserve">: </w:t>
            </w:r>
          </w:p>
          <w:p w14:paraId="7B08437E" w14:textId="4825AABE" w:rsidR="00870BF0" w:rsidRPr="00870BF0" w:rsidRDefault="00E800C1"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870BF0" w:rsidRPr="00870BF0">
              <w:rPr>
                <w:rFonts w:ascii="Times New Roman" w:hAnsi="Times New Roman" w:cs="Times New Roman"/>
              </w:rPr>
              <w:t xml:space="preserve">L’identification des entités de la filière soins palliatifs du territoire concernées par la mise en œuvre du protocole et la description de leurs interactions avec les acteurs de soins de ville et les services spécialisés </w:t>
            </w:r>
          </w:p>
          <w:p w14:paraId="071243C5" w14:textId="77777777" w:rsidR="00870BF0" w:rsidRPr="00870BF0" w:rsidRDefault="00870BF0"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 Les critères d’inclusion et d’exclusion des patients au protocole : âge, conditions de vie et environnement, comorbidités, etc.</w:t>
            </w:r>
          </w:p>
          <w:p w14:paraId="62BE8DF1" w14:textId="77777777" w:rsidR="00870BF0" w:rsidRPr="00870BF0" w:rsidRDefault="00870BF0"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 La nature précise des délégations d’actes et d’activités aux infirmiers-</w:t>
            </w:r>
            <w:proofErr w:type="spellStart"/>
            <w:r w:rsidRPr="00870BF0">
              <w:rPr>
                <w:rFonts w:ascii="Times New Roman" w:hAnsi="Times New Roman" w:cs="Times New Roman"/>
              </w:rPr>
              <w:t>ières</w:t>
            </w:r>
            <w:proofErr w:type="spellEnd"/>
            <w:r w:rsidRPr="00870BF0">
              <w:rPr>
                <w:rFonts w:ascii="Times New Roman" w:hAnsi="Times New Roman" w:cs="Times New Roman"/>
              </w:rPr>
              <w:t xml:space="preserve"> qui peuvent porter sur :</w:t>
            </w:r>
          </w:p>
          <w:p w14:paraId="43584B4A" w14:textId="0E19E717" w:rsidR="00870BF0" w:rsidRPr="00870BF0" w:rsidRDefault="00870BF0" w:rsidP="00870BF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La consultation initiale auprès des patients en lieu et place du médecin, interprétation de données cliniques, prescription et interprétation d’examens complémentaires, synthèse de l’évaluation pluri professionnelle et proposition d’un projet de prise en charge à valider avec le délégant et l’équipe de soins du patient</w:t>
            </w:r>
            <w:r w:rsidR="002F52A4">
              <w:rPr>
                <w:rFonts w:ascii="Times New Roman" w:hAnsi="Times New Roman" w:cs="Times New Roman"/>
              </w:rPr>
              <w:t> ;</w:t>
            </w:r>
          </w:p>
          <w:p w14:paraId="2D4D2F93" w14:textId="406B2335" w:rsidR="00870BF0" w:rsidRPr="00870BF0" w:rsidRDefault="00870BF0" w:rsidP="00870BF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La consultation de suivi en relai ou en alternance de celle du médecin: adaptation du projet de prise en charge, prescription, renouvellement et adaptation de traitements médicamenteux ou non médicamenteux, de dispositifs médicaux et de matériel de soins courant, d’actes de soins…</w:t>
            </w:r>
            <w:r w:rsidR="002F52A4">
              <w:rPr>
                <w:rFonts w:ascii="Times New Roman" w:hAnsi="Times New Roman" w:cs="Times New Roman"/>
              </w:rPr>
              <w:t> ;</w:t>
            </w:r>
          </w:p>
          <w:p w14:paraId="0526DE24" w14:textId="0480C653" w:rsidR="00870BF0" w:rsidRPr="00870BF0" w:rsidRDefault="00870BF0" w:rsidP="00870BF0">
            <w:pPr>
              <w:pStyle w:val="Paragraphedeliste"/>
              <w:numPr>
                <w:ilvl w:val="0"/>
                <w:numId w:val="16"/>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La mise en lien avec les acteurs ambulatoires et les services hospitaliers auxquels les patients peuvent avoir recours</w:t>
            </w:r>
            <w:r w:rsidR="002F52A4">
              <w:rPr>
                <w:rFonts w:ascii="Times New Roman" w:hAnsi="Times New Roman" w:cs="Times New Roman"/>
              </w:rPr>
              <w:t>.</w:t>
            </w:r>
          </w:p>
          <w:p w14:paraId="3F24C659" w14:textId="77777777" w:rsidR="00870BF0" w:rsidRPr="00870BF0" w:rsidRDefault="00870BF0"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 Les modalités du travail en équipe entre délégants et délégués, notamment les dispositions permettant un accès aux délégants en cas de besoin et la procédure de gestion en équipe des événements indésirables.</w:t>
            </w:r>
          </w:p>
          <w:p w14:paraId="00DA11D0" w14:textId="4218829D" w:rsidR="00870BF0" w:rsidRPr="00870BF0" w:rsidRDefault="00870BF0" w:rsidP="00870BF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70BF0">
              <w:rPr>
                <w:rFonts w:ascii="Times New Roman" w:hAnsi="Times New Roman" w:cs="Times New Roman"/>
              </w:rPr>
              <w:t>• La formation des délégués</w:t>
            </w:r>
            <w:r w:rsidR="002F52A4">
              <w:rPr>
                <w:rFonts w:ascii="Times New Roman" w:hAnsi="Times New Roman" w:cs="Times New Roman"/>
              </w:rPr>
              <w:t> :</w:t>
            </w:r>
          </w:p>
          <w:p w14:paraId="48EA04FF" w14:textId="77777777" w:rsidR="00870BF0" w:rsidRPr="002F52A4" w:rsidRDefault="00870BF0" w:rsidP="002F52A4">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52A4">
              <w:rPr>
                <w:rFonts w:ascii="Times New Roman" w:hAnsi="Times New Roman" w:cs="Times New Roman"/>
              </w:rPr>
              <w:t xml:space="preserve">Niveau d’expertise préalable requise en termes d’expérience et de formation  </w:t>
            </w:r>
          </w:p>
          <w:p w14:paraId="755DA71D" w14:textId="6FD1EE2D" w:rsidR="00870FE1" w:rsidRPr="002F52A4" w:rsidRDefault="00870BF0" w:rsidP="002F52A4">
            <w:pPr>
              <w:pStyle w:val="Paragraphedeliste"/>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F52A4">
              <w:rPr>
                <w:rFonts w:ascii="Times New Roman" w:hAnsi="Times New Roman" w:cs="Times New Roman"/>
              </w:rPr>
              <w:t xml:space="preserve">Description synthétique de la formation théorique et pratique supplémentaire nécessaire à l’exercice des nouvelles compétences prévues par le protocole. </w:t>
            </w:r>
          </w:p>
        </w:tc>
      </w:tr>
      <w:tr w:rsidR="00870FE1" w:rsidRPr="00AE46FC" w14:paraId="40647067"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2BD0ADA8" w14:textId="77777777" w:rsidR="00870FE1" w:rsidRDefault="00870FE1" w:rsidP="00C5483A">
            <w:pPr>
              <w:jc w:val="both"/>
              <w:rPr>
                <w:rFonts w:ascii="Times New Roman" w:hAnsi="Times New Roman" w:cs="Times New Roman"/>
              </w:rPr>
            </w:pPr>
            <w:r>
              <w:rPr>
                <w:rFonts w:ascii="Times New Roman" w:hAnsi="Times New Roman" w:cs="Times New Roman"/>
              </w:rPr>
              <w:lastRenderedPageBreak/>
              <w:t xml:space="preserve">3- </w:t>
            </w:r>
            <w:r w:rsidRPr="00C5483A">
              <w:rPr>
                <w:rFonts w:ascii="Times New Roman" w:hAnsi="Times New Roman" w:cs="Times New Roman"/>
              </w:rPr>
              <w:t>Objectifs du protocole pour les patients et la structure/l’équipe</w:t>
            </w:r>
          </w:p>
          <w:p w14:paraId="683F310F" w14:textId="5FE9EA5C" w:rsidR="00870FE1" w:rsidRPr="00547AE8" w:rsidRDefault="00870FE1" w:rsidP="00C5483A">
            <w:pPr>
              <w:jc w:val="both"/>
              <w:rPr>
                <w:rFonts w:ascii="Times New Roman" w:hAnsi="Times New Roman" w:cs="Times New Roman"/>
                <w:sz w:val="20"/>
              </w:rPr>
            </w:pPr>
          </w:p>
        </w:tc>
        <w:tc>
          <w:tcPr>
            <w:tcW w:w="3096" w:type="pct"/>
          </w:tcPr>
          <w:p w14:paraId="1D7BF4B1" w14:textId="77777777" w:rsidR="00E800C1" w:rsidRPr="00E800C1" w:rsidRDefault="00E800C1" w:rsidP="00E800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00C1">
              <w:rPr>
                <w:rFonts w:ascii="Times New Roman" w:hAnsi="Times New Roman" w:cs="Times New Roman"/>
              </w:rPr>
              <w:t>• Pour les patients : meilleur accès aux soins et sécurisation de leur prise en charge</w:t>
            </w:r>
          </w:p>
          <w:p w14:paraId="3766EC77" w14:textId="77777777" w:rsidR="00E800C1" w:rsidRPr="00E800C1" w:rsidRDefault="00E800C1" w:rsidP="00E800C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00C1">
              <w:rPr>
                <w:rFonts w:ascii="Times New Roman" w:hAnsi="Times New Roman" w:cs="Times New Roman"/>
              </w:rPr>
              <w:t xml:space="preserve">• Pour les délégués : consolidation et valorisation de leur expérience et expertise professionnelles </w:t>
            </w:r>
          </w:p>
          <w:p w14:paraId="5B49FC64" w14:textId="028A539F" w:rsidR="00E85088" w:rsidRPr="00874F41" w:rsidRDefault="00E800C1" w:rsidP="00E800C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00C1">
              <w:rPr>
                <w:rFonts w:ascii="Times New Roman" w:hAnsi="Times New Roman" w:cs="Times New Roman"/>
              </w:rPr>
              <w:t>• Pour les délégants : libération de temps médical au bénéfice de la prise en soins de nouveaux patients et/ou d'autres activités médicales.</w:t>
            </w:r>
          </w:p>
        </w:tc>
      </w:tr>
      <w:tr w:rsidR="00870FE1" w:rsidRPr="00AE46FC" w14:paraId="7E2DA7B3"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32BF1AA1" w14:textId="5F8D4A30" w:rsidR="00870FE1" w:rsidRPr="000D4119" w:rsidRDefault="00870FE1" w:rsidP="00BD21EF">
            <w:r w:rsidRPr="000D4119">
              <w:t>4- Indicateurs de suivi annuel du protocole</w:t>
            </w:r>
          </w:p>
          <w:p w14:paraId="0237B09C" w14:textId="2370BC4A" w:rsidR="00870FE1" w:rsidRPr="000D4119" w:rsidRDefault="00870FE1" w:rsidP="00BD21EF">
            <w:pPr>
              <w:jc w:val="both"/>
              <w:rPr>
                <w:rFonts w:ascii="Times New Roman" w:hAnsi="Times New Roman" w:cs="Times New Roman"/>
              </w:rPr>
            </w:pPr>
          </w:p>
        </w:tc>
        <w:tc>
          <w:tcPr>
            <w:tcW w:w="3096" w:type="pct"/>
          </w:tcPr>
          <w:p w14:paraId="03D58302" w14:textId="77777777" w:rsidR="00E800C1" w:rsidRPr="00E800C1" w:rsidRDefault="00E800C1" w:rsidP="00E800C1">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800C1">
              <w:rPr>
                <w:rFonts w:ascii="Times New Roman" w:hAnsi="Times New Roman" w:cs="Times New Roman"/>
              </w:rPr>
              <w:t xml:space="preserve">Cinq indicateurs sont obligatoires : </w:t>
            </w:r>
          </w:p>
          <w:p w14:paraId="310F994D" w14:textId="10B567F5" w:rsidR="00E800C1" w:rsidRPr="00E76B01" w:rsidRDefault="00E800C1" w:rsidP="00E76B01">
            <w:pPr>
              <w:pStyle w:val="Paragraphedeliste"/>
              <w:numPr>
                <w:ilvl w:val="0"/>
                <w:numId w:val="18"/>
              </w:numPr>
              <w:spacing w:before="120"/>
              <w:ind w:left="15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B01">
              <w:rPr>
                <w:rFonts w:ascii="Times New Roman" w:hAnsi="Times New Roman" w:cs="Times New Roman"/>
              </w:rPr>
              <w:t>Nombre de patients effectivement pris en charge au titre du protocole</w:t>
            </w:r>
          </w:p>
          <w:p w14:paraId="3E78F3F1" w14:textId="3000A7EB" w:rsidR="00E800C1" w:rsidRPr="00E76B01" w:rsidRDefault="00E800C1" w:rsidP="00E76B01">
            <w:pPr>
              <w:pStyle w:val="Paragraphedeliste"/>
              <w:numPr>
                <w:ilvl w:val="0"/>
                <w:numId w:val="18"/>
              </w:numPr>
              <w:spacing w:before="120"/>
              <w:ind w:left="15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B01">
              <w:rPr>
                <w:rFonts w:ascii="Times New Roman" w:hAnsi="Times New Roman" w:cs="Times New Roman"/>
              </w:rPr>
              <w:t xml:space="preserve">Taux de retours non prévus par le protocole vers le médecin déléguant, </w:t>
            </w:r>
          </w:p>
          <w:p w14:paraId="41333DA4" w14:textId="13EFA2BB" w:rsidR="00E800C1" w:rsidRPr="00E76B01" w:rsidRDefault="00E800C1" w:rsidP="00E76B01">
            <w:pPr>
              <w:pStyle w:val="Paragraphedeliste"/>
              <w:numPr>
                <w:ilvl w:val="0"/>
                <w:numId w:val="18"/>
              </w:numPr>
              <w:spacing w:before="120"/>
              <w:ind w:left="15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B01">
              <w:rPr>
                <w:rFonts w:ascii="Times New Roman" w:hAnsi="Times New Roman" w:cs="Times New Roman"/>
              </w:rPr>
              <w:t xml:space="preserve">Taux d’événements indésirables déclarés </w:t>
            </w:r>
          </w:p>
          <w:p w14:paraId="65D0954B" w14:textId="0C127104" w:rsidR="00E800C1" w:rsidRPr="00E76B01" w:rsidRDefault="00E800C1" w:rsidP="00E76B01">
            <w:pPr>
              <w:pStyle w:val="Paragraphedeliste"/>
              <w:numPr>
                <w:ilvl w:val="0"/>
                <w:numId w:val="18"/>
              </w:numPr>
              <w:spacing w:before="120"/>
              <w:ind w:left="15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B01">
              <w:rPr>
                <w:rFonts w:ascii="Times New Roman" w:hAnsi="Times New Roman" w:cs="Times New Roman"/>
              </w:rPr>
              <w:t xml:space="preserve">Nombre d’événements indésirables graves (suspension ou arrêt du protocole possible si &gt;0)  </w:t>
            </w:r>
          </w:p>
          <w:p w14:paraId="0DFC3A7C" w14:textId="7615E723" w:rsidR="00E800C1" w:rsidRPr="00E76B01" w:rsidRDefault="00E800C1" w:rsidP="00E76B01">
            <w:pPr>
              <w:pStyle w:val="Paragraphedeliste"/>
              <w:numPr>
                <w:ilvl w:val="0"/>
                <w:numId w:val="18"/>
              </w:numPr>
              <w:spacing w:before="120"/>
              <w:ind w:left="159" w:hanging="14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6B01">
              <w:rPr>
                <w:rFonts w:ascii="Times New Roman" w:hAnsi="Times New Roman" w:cs="Times New Roman"/>
              </w:rPr>
              <w:t>Taux de satisfaction des professionnels de santé engagés dans la mise en œuvre du protocole</w:t>
            </w:r>
          </w:p>
          <w:p w14:paraId="2D7F0D4A" w14:textId="205C7187" w:rsidR="00870FE1" w:rsidRPr="00E76B01" w:rsidRDefault="00E800C1" w:rsidP="00E76B01">
            <w:pPr>
              <w:autoSpaceDE w:val="0"/>
              <w:autoSpaceDN w:val="0"/>
              <w:adjustRightInd w:val="0"/>
              <w:spacing w:after="120"/>
              <w:ind w:left="17"/>
              <w:cnfStyle w:val="000000000000" w:firstRow="0" w:lastRow="0" w:firstColumn="0" w:lastColumn="0" w:oddVBand="0" w:evenVBand="0" w:oddHBand="0" w:evenHBand="0" w:firstRowFirstColumn="0" w:firstRowLastColumn="0" w:lastRowFirstColumn="0" w:lastRowLastColumn="0"/>
              <w:rPr>
                <w:rFonts w:ascii="HelveticaNeueLTStd-Roman" w:hAnsi="HelveticaNeueLTStd-Roman" w:cs="HelveticaNeueLTStd-Roman"/>
                <w:sz w:val="19"/>
                <w:szCs w:val="19"/>
              </w:rPr>
            </w:pPr>
            <w:r w:rsidRPr="00E76B01">
              <w:rPr>
                <w:rFonts w:ascii="Times New Roman" w:hAnsi="Times New Roman" w:cs="Times New Roman"/>
              </w:rPr>
              <w:t>D’autres indicateurs qualitatifs peuvent être proposés par les répondants à l’AMI.</w:t>
            </w:r>
          </w:p>
        </w:tc>
      </w:tr>
      <w:tr w:rsidR="00870FE1" w:rsidRPr="00AE46FC" w14:paraId="64E944F7"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586449ED" w14:textId="77777777" w:rsidR="00870FE1" w:rsidRDefault="00870FE1" w:rsidP="00BD21EF">
            <w:pPr>
              <w:jc w:val="both"/>
              <w:rPr>
                <w:rFonts w:ascii="Times New Roman" w:hAnsi="Times New Roman" w:cs="Times New Roman"/>
              </w:rPr>
            </w:pPr>
            <w:r>
              <w:rPr>
                <w:rFonts w:ascii="Times New Roman" w:hAnsi="Times New Roman" w:cs="Times New Roman"/>
              </w:rPr>
              <w:lastRenderedPageBreak/>
              <w:t xml:space="preserve">5- </w:t>
            </w:r>
            <w:r w:rsidRPr="00C5483A">
              <w:rPr>
                <w:rFonts w:ascii="Times New Roman" w:hAnsi="Times New Roman" w:cs="Times New Roman"/>
              </w:rPr>
              <w:t>Résultats attendus</w:t>
            </w:r>
          </w:p>
          <w:p w14:paraId="683904B8" w14:textId="177E03CB" w:rsidR="00870FE1" w:rsidRPr="00C5483A" w:rsidRDefault="00870FE1" w:rsidP="00BD21EF">
            <w:pPr>
              <w:jc w:val="both"/>
              <w:rPr>
                <w:rFonts w:ascii="Times New Roman" w:hAnsi="Times New Roman" w:cs="Times New Roman"/>
              </w:rPr>
            </w:pPr>
            <w:r w:rsidRPr="00C5483A">
              <w:rPr>
                <w:rFonts w:ascii="Times New Roman" w:hAnsi="Times New Roman" w:cs="Times New Roman"/>
              </w:rPr>
              <w:t xml:space="preserve"> </w:t>
            </w:r>
          </w:p>
        </w:tc>
        <w:tc>
          <w:tcPr>
            <w:tcW w:w="3096" w:type="pct"/>
          </w:tcPr>
          <w:p w14:paraId="6E76F6DC" w14:textId="1E005776" w:rsidR="00870FE1" w:rsidRPr="00AE46FC" w:rsidRDefault="00357CA7" w:rsidP="00E8508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7CA7">
              <w:rPr>
                <w:rFonts w:ascii="Times New Roman" w:hAnsi="Times New Roman" w:cs="Times New Roman"/>
              </w:rPr>
              <w:t>Amélioration de l'accès territorial à une expertise soins palliatifs d'évaluation, de préconisations et d'orientation</w:t>
            </w:r>
            <w:r>
              <w:rPr>
                <w:rFonts w:ascii="Times New Roman" w:hAnsi="Times New Roman" w:cs="Times New Roman"/>
              </w:rPr>
              <w:t>.</w:t>
            </w:r>
          </w:p>
        </w:tc>
      </w:tr>
      <w:tr w:rsidR="00870FE1" w:rsidRPr="00AE46FC" w14:paraId="513277BA"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32D58AF0" w14:textId="77777777" w:rsidR="00870FE1" w:rsidRDefault="00870FE1" w:rsidP="00BD21EF">
            <w:pPr>
              <w:jc w:val="both"/>
              <w:rPr>
                <w:rFonts w:ascii="Times New Roman" w:hAnsi="Times New Roman" w:cs="Times New Roman"/>
              </w:rPr>
            </w:pPr>
            <w:r>
              <w:rPr>
                <w:rFonts w:ascii="Times New Roman" w:hAnsi="Times New Roman" w:cs="Times New Roman"/>
              </w:rPr>
              <w:t xml:space="preserve">6- </w:t>
            </w:r>
            <w:r w:rsidRPr="00C5483A">
              <w:rPr>
                <w:rFonts w:ascii="Times New Roman" w:hAnsi="Times New Roman" w:cs="Times New Roman"/>
              </w:rPr>
              <w:t>Profil des équipes candidates et professions de santé concernées</w:t>
            </w:r>
            <w:r>
              <w:rPr>
                <w:rStyle w:val="Appelnotedebasdep"/>
                <w:rFonts w:ascii="Times New Roman" w:hAnsi="Times New Roman" w:cs="Times New Roman"/>
              </w:rPr>
              <w:footnoteReference w:id="2"/>
            </w:r>
            <w:r w:rsidRPr="00C5483A">
              <w:rPr>
                <w:rFonts w:ascii="Times New Roman" w:hAnsi="Times New Roman" w:cs="Times New Roman"/>
              </w:rPr>
              <w:t xml:space="preserve"> </w:t>
            </w:r>
          </w:p>
          <w:p w14:paraId="1287D2C8" w14:textId="02DB5196" w:rsidR="00870FE1" w:rsidRPr="00C5483A" w:rsidRDefault="00870FE1" w:rsidP="00BD21EF">
            <w:pPr>
              <w:jc w:val="both"/>
              <w:rPr>
                <w:rFonts w:ascii="Times New Roman" w:hAnsi="Times New Roman" w:cs="Times New Roman"/>
              </w:rPr>
            </w:pPr>
          </w:p>
        </w:tc>
        <w:tc>
          <w:tcPr>
            <w:tcW w:w="3096" w:type="pct"/>
          </w:tcPr>
          <w:p w14:paraId="74137484" w14:textId="77777777" w:rsidR="00357CA7" w:rsidRPr="00357CA7" w:rsidRDefault="00357CA7" w:rsidP="00357CA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7CA7">
              <w:rPr>
                <w:rFonts w:ascii="Times New Roman" w:hAnsi="Times New Roman" w:cs="Times New Roman"/>
              </w:rPr>
              <w:t xml:space="preserve">• Médecins exerçant au sein de la filière Soins palliatifs du territoire (établissements de santé, établissement et services médico-sociaux, dispositifs d’appui, structures d’exercice coordonné…) </w:t>
            </w:r>
          </w:p>
          <w:p w14:paraId="7FADFF92" w14:textId="04BCD866" w:rsidR="00870FE1" w:rsidRPr="00357CA7" w:rsidRDefault="00357CA7" w:rsidP="00357CA7">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7CA7">
              <w:rPr>
                <w:rFonts w:ascii="Times New Roman" w:hAnsi="Times New Roman" w:cs="Times New Roman"/>
              </w:rPr>
              <w:t>• Infirmi</w:t>
            </w:r>
            <w:r>
              <w:rPr>
                <w:rFonts w:ascii="Times New Roman" w:hAnsi="Times New Roman" w:cs="Times New Roman"/>
              </w:rPr>
              <w:t>ers-ères e</w:t>
            </w:r>
            <w:r w:rsidRPr="00357CA7">
              <w:rPr>
                <w:rFonts w:ascii="Times New Roman" w:hAnsi="Times New Roman" w:cs="Times New Roman"/>
              </w:rPr>
              <w:t>xpert</w:t>
            </w:r>
            <w:r>
              <w:rPr>
                <w:rFonts w:ascii="Times New Roman" w:hAnsi="Times New Roman" w:cs="Times New Roman"/>
              </w:rPr>
              <w:t>s-</w:t>
            </w:r>
            <w:r w:rsidRPr="00357CA7">
              <w:rPr>
                <w:rFonts w:ascii="Times New Roman" w:hAnsi="Times New Roman" w:cs="Times New Roman"/>
              </w:rPr>
              <w:t xml:space="preserve">es en soins palliatifs déjà titulaires d’une formation </w:t>
            </w:r>
            <w:proofErr w:type="spellStart"/>
            <w:r w:rsidRPr="00357CA7">
              <w:rPr>
                <w:rFonts w:ascii="Times New Roman" w:hAnsi="Times New Roman" w:cs="Times New Roman"/>
              </w:rPr>
              <w:t>validante</w:t>
            </w:r>
            <w:proofErr w:type="spellEnd"/>
            <w:r w:rsidRPr="00357CA7">
              <w:rPr>
                <w:rFonts w:ascii="Times New Roman" w:hAnsi="Times New Roman" w:cs="Times New Roman"/>
              </w:rPr>
              <w:t xml:space="preserve"> et exerçant dans cette filière soins palliatifs du territoire  </w:t>
            </w:r>
          </w:p>
        </w:tc>
      </w:tr>
      <w:tr w:rsidR="00870FE1" w:rsidRPr="00AE46FC" w14:paraId="23CBEEF3"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43F9760F" w14:textId="77777777" w:rsidR="00870FE1" w:rsidRDefault="00870FE1" w:rsidP="00BD21EF">
            <w:pPr>
              <w:jc w:val="both"/>
              <w:rPr>
                <w:rFonts w:ascii="Times New Roman" w:hAnsi="Times New Roman" w:cs="Times New Roman"/>
              </w:rPr>
            </w:pPr>
            <w:r>
              <w:rPr>
                <w:rFonts w:ascii="Times New Roman" w:hAnsi="Times New Roman" w:cs="Times New Roman"/>
              </w:rPr>
              <w:t xml:space="preserve">7- </w:t>
            </w:r>
            <w:r w:rsidRPr="00C5483A">
              <w:rPr>
                <w:rFonts w:ascii="Times New Roman" w:hAnsi="Times New Roman" w:cs="Times New Roman"/>
              </w:rPr>
              <w:t xml:space="preserve">Lieux de mise en œuvre </w:t>
            </w:r>
          </w:p>
          <w:p w14:paraId="182805CC" w14:textId="06C4B8FD" w:rsidR="00870FE1" w:rsidRPr="00547AE8" w:rsidRDefault="00870FE1" w:rsidP="00BD21EF">
            <w:pPr>
              <w:jc w:val="both"/>
              <w:rPr>
                <w:rFonts w:ascii="Times New Roman" w:hAnsi="Times New Roman" w:cs="Times New Roman"/>
                <w:sz w:val="20"/>
              </w:rPr>
            </w:pPr>
          </w:p>
        </w:tc>
        <w:tc>
          <w:tcPr>
            <w:tcW w:w="3096" w:type="pct"/>
          </w:tcPr>
          <w:p w14:paraId="527313D0" w14:textId="54D16665" w:rsidR="00870FE1" w:rsidRPr="00AE46FC" w:rsidRDefault="00357CA7" w:rsidP="00874F41">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7CA7">
              <w:rPr>
                <w:rFonts w:ascii="Times New Roman" w:hAnsi="Times New Roman" w:cs="Times New Roman"/>
              </w:rPr>
              <w:t>Lieux de soins et de vie concernés sur l’ensemble du territoire national</w:t>
            </w:r>
          </w:p>
        </w:tc>
      </w:tr>
      <w:tr w:rsidR="00357CA7" w:rsidRPr="00AE46FC" w14:paraId="5FEFD97B" w14:textId="77777777" w:rsidTr="00870FE1">
        <w:tc>
          <w:tcPr>
            <w:cnfStyle w:val="001000000000" w:firstRow="0" w:lastRow="0" w:firstColumn="1" w:lastColumn="0" w:oddVBand="0" w:evenVBand="0" w:oddHBand="0" w:evenHBand="0" w:firstRowFirstColumn="0" w:firstRowLastColumn="0" w:lastRowFirstColumn="0" w:lastRowLastColumn="0"/>
            <w:tcW w:w="1904" w:type="pct"/>
          </w:tcPr>
          <w:p w14:paraId="515151E8" w14:textId="7D0EE4A4" w:rsidR="00357CA7" w:rsidRDefault="00357CA7" w:rsidP="00357CA7">
            <w:pPr>
              <w:jc w:val="both"/>
              <w:rPr>
                <w:rFonts w:ascii="Times New Roman" w:hAnsi="Times New Roman" w:cs="Times New Roman"/>
              </w:rPr>
            </w:pPr>
            <w:r>
              <w:rPr>
                <w:rFonts w:ascii="Times New Roman" w:hAnsi="Times New Roman" w:cs="Times New Roman"/>
              </w:rPr>
              <w:t>8- Modèle économique</w:t>
            </w:r>
          </w:p>
        </w:tc>
        <w:tc>
          <w:tcPr>
            <w:tcW w:w="3096" w:type="pct"/>
          </w:tcPr>
          <w:p w14:paraId="37C01B9B" w14:textId="0F2DA0F7" w:rsidR="00357CA7" w:rsidRPr="00357CA7" w:rsidRDefault="00357CA7" w:rsidP="00357CA7">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Les délégués exerçant dans la </w:t>
            </w:r>
            <w:r w:rsidR="003D6911">
              <w:rPr>
                <w:rFonts w:ascii="Times New Roman" w:hAnsi="Times New Roman" w:cs="Times New Roman"/>
              </w:rPr>
              <w:t>Fonction publique hospitalière (</w:t>
            </w:r>
            <w:r>
              <w:rPr>
                <w:rFonts w:ascii="Times New Roman" w:hAnsi="Times New Roman" w:cs="Times New Roman"/>
              </w:rPr>
              <w:t>FPH</w:t>
            </w:r>
            <w:r w:rsidR="003D6911">
              <w:rPr>
                <w:rFonts w:ascii="Times New Roman" w:hAnsi="Times New Roman" w:cs="Times New Roman"/>
              </w:rPr>
              <w:t>)</w:t>
            </w:r>
            <w:r>
              <w:rPr>
                <w:rFonts w:ascii="Times New Roman" w:hAnsi="Times New Roman" w:cs="Times New Roman"/>
              </w:rPr>
              <w:t xml:space="preserve"> seront éligibles à la prime « protocoles de coopération ». Un </w:t>
            </w:r>
            <w:r w:rsidR="004F2793">
              <w:rPr>
                <w:rFonts w:ascii="Times New Roman" w:hAnsi="Times New Roman" w:cs="Times New Roman"/>
              </w:rPr>
              <w:t xml:space="preserve">projet </w:t>
            </w:r>
            <w:r>
              <w:rPr>
                <w:rFonts w:ascii="Times New Roman" w:hAnsi="Times New Roman" w:cs="Times New Roman"/>
              </w:rPr>
              <w:t>modèle économique peut être proposé pour la rémunération des délégués n’exerçant pas dans la FPH</w:t>
            </w:r>
            <w:r w:rsidR="00E76B01">
              <w:rPr>
                <w:rFonts w:ascii="Times New Roman" w:hAnsi="Times New Roman" w:cs="Times New Roman"/>
              </w:rPr>
              <w:t>.</w:t>
            </w:r>
          </w:p>
        </w:tc>
      </w:tr>
    </w:tbl>
    <w:p w14:paraId="0825EF7E" w14:textId="3CB6175C" w:rsidR="00212757" w:rsidRPr="00AE46FC" w:rsidRDefault="00212757" w:rsidP="008E272C">
      <w:pPr>
        <w:jc w:val="both"/>
        <w:rPr>
          <w:rFonts w:ascii="Times New Roman" w:hAnsi="Times New Roman" w:cs="Times New Roman"/>
        </w:rPr>
      </w:pPr>
    </w:p>
    <w:sectPr w:rsidR="00212757" w:rsidRPr="00AE46FC" w:rsidSect="008E272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05061" w14:textId="77777777" w:rsidR="001514E3" w:rsidRDefault="001514E3" w:rsidP="000E4E78">
      <w:pPr>
        <w:spacing w:after="0" w:line="240" w:lineRule="auto"/>
      </w:pPr>
      <w:r>
        <w:separator/>
      </w:r>
    </w:p>
  </w:endnote>
  <w:endnote w:type="continuationSeparator" w:id="0">
    <w:p w14:paraId="2ECCBA15" w14:textId="77777777" w:rsidR="001514E3" w:rsidRDefault="001514E3" w:rsidP="000E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184006"/>
      <w:docPartObj>
        <w:docPartGallery w:val="Page Numbers (Bottom of Page)"/>
        <w:docPartUnique/>
      </w:docPartObj>
    </w:sdtPr>
    <w:sdtEndPr/>
    <w:sdtContent>
      <w:p w14:paraId="6BD3819C" w14:textId="094F5A29" w:rsidR="00B207CE" w:rsidRDefault="00B207CE">
        <w:pPr>
          <w:pStyle w:val="Pieddepage"/>
          <w:jc w:val="right"/>
        </w:pPr>
        <w:r>
          <w:fldChar w:fldCharType="begin"/>
        </w:r>
        <w:r>
          <w:instrText>PAGE   \* MERGEFORMAT</w:instrText>
        </w:r>
        <w:r>
          <w:fldChar w:fldCharType="separate"/>
        </w:r>
        <w:r w:rsidR="008A54B2">
          <w:rPr>
            <w:noProof/>
          </w:rPr>
          <w:t>3</w:t>
        </w:r>
        <w:r>
          <w:fldChar w:fldCharType="end"/>
        </w:r>
      </w:p>
    </w:sdtContent>
  </w:sdt>
  <w:p w14:paraId="2C2022FA" w14:textId="77777777" w:rsidR="00B207CE" w:rsidRDefault="00B207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5DB9F" w14:textId="77777777" w:rsidR="001514E3" w:rsidRDefault="001514E3" w:rsidP="000E4E78">
      <w:pPr>
        <w:spacing w:after="0" w:line="240" w:lineRule="auto"/>
      </w:pPr>
      <w:r>
        <w:separator/>
      </w:r>
    </w:p>
  </w:footnote>
  <w:footnote w:type="continuationSeparator" w:id="0">
    <w:p w14:paraId="43FD8B2B" w14:textId="77777777" w:rsidR="001514E3" w:rsidRDefault="001514E3" w:rsidP="000E4E78">
      <w:pPr>
        <w:spacing w:after="0" w:line="240" w:lineRule="auto"/>
      </w:pPr>
      <w:r>
        <w:continuationSeparator/>
      </w:r>
    </w:p>
  </w:footnote>
  <w:footnote w:id="1">
    <w:p w14:paraId="38D6A8CD" w14:textId="5C150A59" w:rsidR="007365FD" w:rsidRDefault="007365FD">
      <w:pPr>
        <w:pStyle w:val="Notedebasdepage"/>
      </w:pPr>
      <w:r>
        <w:rPr>
          <w:rStyle w:val="Appelnotedebasdep"/>
        </w:rPr>
        <w:footnoteRef/>
      </w:r>
      <w:r>
        <w:t xml:space="preserve"> Filière soins palliatifs : </w:t>
      </w:r>
      <w:r w:rsidRPr="007365FD">
        <w:t>Entendue comme l’organisation concourant à répondre aux besoins de soins, d’expertise et de coordination entre les acteurs</w:t>
      </w:r>
    </w:p>
  </w:footnote>
  <w:footnote w:id="2">
    <w:p w14:paraId="4966D6C5" w14:textId="77777777" w:rsidR="00870FE1" w:rsidRDefault="00870FE1">
      <w:pPr>
        <w:pStyle w:val="Notedebasdepage"/>
      </w:pPr>
      <w:r>
        <w:rPr>
          <w:rStyle w:val="Appelnotedebasdep"/>
        </w:rPr>
        <w:footnoteRef/>
      </w:r>
      <w:r>
        <w:t xml:space="preserve"> Liste des professions : </w:t>
      </w:r>
      <w:hyperlink r:id="rId1" w:history="1">
        <w:r w:rsidRPr="00D82E59">
          <w:rPr>
            <w:rStyle w:val="Lienhypertexte"/>
          </w:rPr>
          <w:t>article L. 4011-1 du code de la santé publique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75F0" w14:textId="77777777" w:rsidR="009851E9" w:rsidRPr="00936E45" w:rsidRDefault="009851E9" w:rsidP="009851E9">
    <w:pPr>
      <w:pStyle w:val="ServiceInfoHeader"/>
      <w:rPr>
        <w:lang w:val="fr-FR"/>
      </w:rPr>
    </w:pPr>
    <w:r>
      <w:rPr>
        <w:noProof/>
        <w:lang w:val="fr-FR"/>
      </w:rPr>
      <w:drawing>
        <wp:anchor distT="0" distB="0" distL="114300" distR="114300" simplePos="0" relativeHeight="251661312" behindDoc="0" locked="0" layoutInCell="1" allowOverlap="1" wp14:anchorId="71CB3135" wp14:editId="1B2BA0DD">
          <wp:simplePos x="0" y="0"/>
          <wp:positionH relativeFrom="column">
            <wp:posOffset>-333375</wp:posOffset>
          </wp:positionH>
          <wp:positionV relativeFrom="paragraph">
            <wp:posOffset>-393065</wp:posOffset>
          </wp:positionV>
          <wp:extent cx="2050415" cy="129540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0415" cy="1295400"/>
                  </a:xfrm>
                  <a:prstGeom prst="rect">
                    <a:avLst/>
                  </a:prstGeom>
                </pic:spPr>
              </pic:pic>
            </a:graphicData>
          </a:graphic>
          <wp14:sizeRelH relativeFrom="page">
            <wp14:pctWidth>0</wp14:pctWidth>
          </wp14:sizeRelH>
          <wp14:sizeRelV relativeFrom="page">
            <wp14:pctHeight>0</wp14:pctHeight>
          </wp14:sizeRelV>
        </wp:anchor>
      </w:drawing>
    </w:r>
    <w:r>
      <w:rPr>
        <w:lang w:val="fr-FR"/>
      </w:rPr>
      <w:t>Direction générale</w:t>
    </w:r>
    <w:r>
      <w:rPr>
        <w:lang w:val="fr-FR"/>
      </w:rPr>
      <w:br/>
      <w:t>de l’offre de soins</w:t>
    </w:r>
  </w:p>
  <w:p w14:paraId="6073652C" w14:textId="79709E1F" w:rsidR="005A79F2" w:rsidRPr="009851E9" w:rsidRDefault="009851E9" w:rsidP="009851E9">
    <w:pPr>
      <w:pStyle w:val="Titre"/>
      <w:rPr>
        <w:sz w:val="22"/>
        <w:szCs w:val="22"/>
      </w:rPr>
    </w:pPr>
    <w:r w:rsidRPr="009851E9">
      <w:rPr>
        <w:noProof/>
        <w:sz w:val="22"/>
        <w:szCs w:val="22"/>
        <w:lang w:eastAsia="fr-FR"/>
      </w:rPr>
      <w:drawing>
        <wp:anchor distT="0" distB="0" distL="114300" distR="114300" simplePos="0" relativeHeight="251659264" behindDoc="1" locked="0" layoutInCell="1" allowOverlap="1" wp14:anchorId="7DA079CB" wp14:editId="6FCEF712">
          <wp:simplePos x="0" y="0"/>
          <wp:positionH relativeFrom="margin">
            <wp:posOffset>-352424</wp:posOffset>
          </wp:positionH>
          <wp:positionV relativeFrom="paragraph">
            <wp:posOffset>-392430</wp:posOffset>
          </wp:positionV>
          <wp:extent cx="1352550" cy="854507"/>
          <wp:effectExtent l="0" t="0" r="0" b="317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313" cy="872047"/>
                  </a:xfrm>
                  <a:prstGeom prst="rect">
                    <a:avLst/>
                  </a:prstGeom>
                </pic:spPr>
              </pic:pic>
            </a:graphicData>
          </a:graphic>
          <wp14:sizeRelH relativeFrom="page">
            <wp14:pctWidth>0</wp14:pctWidth>
          </wp14:sizeRelH>
          <wp14:sizeRelV relativeFrom="page">
            <wp14:pctHeight>0</wp14:pctHeight>
          </wp14:sizeRelV>
        </wp:anchor>
      </w:drawing>
    </w:r>
    <w:r w:rsidR="00547AE8" w:rsidRPr="009851E9">
      <w:rPr>
        <w:sz w:val="22"/>
        <w:szCs w:val="22"/>
      </w:rPr>
      <w:t>Comité national des coopérations interprofessionnelles</w:t>
    </w:r>
  </w:p>
  <w:p w14:paraId="45FD2F1D" w14:textId="77777777" w:rsidR="005A79F2" w:rsidRDefault="005A79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6E"/>
    <w:multiLevelType w:val="hybridMultilevel"/>
    <w:tmpl w:val="566E1514"/>
    <w:lvl w:ilvl="0" w:tplc="96269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A4D31"/>
    <w:multiLevelType w:val="hybridMultilevel"/>
    <w:tmpl w:val="AD0E677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176D44"/>
    <w:multiLevelType w:val="hybridMultilevel"/>
    <w:tmpl w:val="566E1514"/>
    <w:lvl w:ilvl="0" w:tplc="96269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AA1682"/>
    <w:multiLevelType w:val="hybridMultilevel"/>
    <w:tmpl w:val="76A8A514"/>
    <w:lvl w:ilvl="0" w:tplc="8D1CEF66">
      <w:start w:val="1"/>
      <w:numFmt w:val="bullet"/>
      <w:lvlText w:val="•"/>
      <w:lvlJc w:val="left"/>
      <w:pPr>
        <w:tabs>
          <w:tab w:val="num" w:pos="720"/>
        </w:tabs>
        <w:ind w:left="720" w:hanging="360"/>
      </w:pPr>
      <w:rPr>
        <w:rFonts w:ascii="Arial" w:hAnsi="Arial" w:hint="default"/>
      </w:rPr>
    </w:lvl>
    <w:lvl w:ilvl="1" w:tplc="DB8AF532" w:tentative="1">
      <w:start w:val="1"/>
      <w:numFmt w:val="bullet"/>
      <w:lvlText w:val="•"/>
      <w:lvlJc w:val="left"/>
      <w:pPr>
        <w:tabs>
          <w:tab w:val="num" w:pos="1440"/>
        </w:tabs>
        <w:ind w:left="1440" w:hanging="360"/>
      </w:pPr>
      <w:rPr>
        <w:rFonts w:ascii="Arial" w:hAnsi="Arial" w:hint="default"/>
      </w:rPr>
    </w:lvl>
    <w:lvl w:ilvl="2" w:tplc="19EA68EA">
      <w:start w:val="1"/>
      <w:numFmt w:val="bullet"/>
      <w:lvlText w:val="•"/>
      <w:lvlJc w:val="left"/>
      <w:pPr>
        <w:tabs>
          <w:tab w:val="num" w:pos="2160"/>
        </w:tabs>
        <w:ind w:left="2160" w:hanging="360"/>
      </w:pPr>
      <w:rPr>
        <w:rFonts w:ascii="Arial" w:hAnsi="Arial" w:hint="default"/>
      </w:rPr>
    </w:lvl>
    <w:lvl w:ilvl="3" w:tplc="3B685E2C" w:tentative="1">
      <w:start w:val="1"/>
      <w:numFmt w:val="bullet"/>
      <w:lvlText w:val="•"/>
      <w:lvlJc w:val="left"/>
      <w:pPr>
        <w:tabs>
          <w:tab w:val="num" w:pos="2880"/>
        </w:tabs>
        <w:ind w:left="2880" w:hanging="360"/>
      </w:pPr>
      <w:rPr>
        <w:rFonts w:ascii="Arial" w:hAnsi="Arial" w:hint="default"/>
      </w:rPr>
    </w:lvl>
    <w:lvl w:ilvl="4" w:tplc="31805116">
      <w:start w:val="245"/>
      <w:numFmt w:val="bullet"/>
      <w:lvlText w:val="•"/>
      <w:lvlJc w:val="left"/>
      <w:pPr>
        <w:tabs>
          <w:tab w:val="num" w:pos="3600"/>
        </w:tabs>
        <w:ind w:left="3600" w:hanging="360"/>
      </w:pPr>
      <w:rPr>
        <w:rFonts w:ascii="Arial" w:hAnsi="Arial" w:hint="default"/>
      </w:rPr>
    </w:lvl>
    <w:lvl w:ilvl="5" w:tplc="3A4E17E0" w:tentative="1">
      <w:start w:val="1"/>
      <w:numFmt w:val="bullet"/>
      <w:lvlText w:val="•"/>
      <w:lvlJc w:val="left"/>
      <w:pPr>
        <w:tabs>
          <w:tab w:val="num" w:pos="4320"/>
        </w:tabs>
        <w:ind w:left="4320" w:hanging="360"/>
      </w:pPr>
      <w:rPr>
        <w:rFonts w:ascii="Arial" w:hAnsi="Arial" w:hint="default"/>
      </w:rPr>
    </w:lvl>
    <w:lvl w:ilvl="6" w:tplc="5252A0AE" w:tentative="1">
      <w:start w:val="1"/>
      <w:numFmt w:val="bullet"/>
      <w:lvlText w:val="•"/>
      <w:lvlJc w:val="left"/>
      <w:pPr>
        <w:tabs>
          <w:tab w:val="num" w:pos="5040"/>
        </w:tabs>
        <w:ind w:left="5040" w:hanging="360"/>
      </w:pPr>
      <w:rPr>
        <w:rFonts w:ascii="Arial" w:hAnsi="Arial" w:hint="default"/>
      </w:rPr>
    </w:lvl>
    <w:lvl w:ilvl="7" w:tplc="CC486D26" w:tentative="1">
      <w:start w:val="1"/>
      <w:numFmt w:val="bullet"/>
      <w:lvlText w:val="•"/>
      <w:lvlJc w:val="left"/>
      <w:pPr>
        <w:tabs>
          <w:tab w:val="num" w:pos="5760"/>
        </w:tabs>
        <w:ind w:left="5760" w:hanging="360"/>
      </w:pPr>
      <w:rPr>
        <w:rFonts w:ascii="Arial" w:hAnsi="Arial" w:hint="default"/>
      </w:rPr>
    </w:lvl>
    <w:lvl w:ilvl="8" w:tplc="E18653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C199A"/>
    <w:multiLevelType w:val="hybridMultilevel"/>
    <w:tmpl w:val="7E1A23F2"/>
    <w:lvl w:ilvl="0" w:tplc="709EDD4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0761D2"/>
    <w:multiLevelType w:val="hybridMultilevel"/>
    <w:tmpl w:val="566E1514"/>
    <w:lvl w:ilvl="0" w:tplc="96269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35404C0"/>
    <w:multiLevelType w:val="hybridMultilevel"/>
    <w:tmpl w:val="C0180F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D4599C"/>
    <w:multiLevelType w:val="hybridMultilevel"/>
    <w:tmpl w:val="566E1514"/>
    <w:lvl w:ilvl="0" w:tplc="96269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4B61CE"/>
    <w:multiLevelType w:val="hybridMultilevel"/>
    <w:tmpl w:val="1DF47A06"/>
    <w:lvl w:ilvl="0" w:tplc="0660E00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809F4"/>
    <w:multiLevelType w:val="hybridMultilevel"/>
    <w:tmpl w:val="F7AE8A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5F734A"/>
    <w:multiLevelType w:val="hybridMultilevel"/>
    <w:tmpl w:val="837249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D84F44"/>
    <w:multiLevelType w:val="hybridMultilevel"/>
    <w:tmpl w:val="DC4AA088"/>
    <w:lvl w:ilvl="0" w:tplc="91F6F9AC">
      <w:numFmt w:val="bullet"/>
      <w:lvlText w:val="-"/>
      <w:lvlJc w:val="left"/>
      <w:pPr>
        <w:ind w:left="360" w:firstLine="0"/>
      </w:pPr>
      <w:rPr>
        <w:rFonts w:asciiTheme="minorHAnsi" w:eastAsiaTheme="minorHAnsi" w:hAnsiTheme="minorHAns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60A73"/>
    <w:multiLevelType w:val="hybridMultilevel"/>
    <w:tmpl w:val="021AE5A8"/>
    <w:lvl w:ilvl="0" w:tplc="131EC2A8">
      <w:start w:val="1"/>
      <w:numFmt w:val="bullet"/>
      <w:lvlText w:val=""/>
      <w:lvlJc w:val="left"/>
      <w:pPr>
        <w:tabs>
          <w:tab w:val="num" w:pos="720"/>
        </w:tabs>
        <w:ind w:left="720" w:hanging="360"/>
      </w:pPr>
      <w:rPr>
        <w:rFonts w:ascii="Wingdings" w:hAnsi="Wingdings" w:hint="default"/>
      </w:rPr>
    </w:lvl>
    <w:lvl w:ilvl="1" w:tplc="1D3A7F38" w:tentative="1">
      <w:start w:val="1"/>
      <w:numFmt w:val="bullet"/>
      <w:lvlText w:val=""/>
      <w:lvlJc w:val="left"/>
      <w:pPr>
        <w:tabs>
          <w:tab w:val="num" w:pos="1440"/>
        </w:tabs>
        <w:ind w:left="1440" w:hanging="360"/>
      </w:pPr>
      <w:rPr>
        <w:rFonts w:ascii="Wingdings" w:hAnsi="Wingdings" w:hint="default"/>
      </w:rPr>
    </w:lvl>
    <w:lvl w:ilvl="2" w:tplc="1096A512" w:tentative="1">
      <w:start w:val="1"/>
      <w:numFmt w:val="bullet"/>
      <w:lvlText w:val=""/>
      <w:lvlJc w:val="left"/>
      <w:pPr>
        <w:tabs>
          <w:tab w:val="num" w:pos="2160"/>
        </w:tabs>
        <w:ind w:left="2160" w:hanging="360"/>
      </w:pPr>
      <w:rPr>
        <w:rFonts w:ascii="Wingdings" w:hAnsi="Wingdings" w:hint="default"/>
      </w:rPr>
    </w:lvl>
    <w:lvl w:ilvl="3" w:tplc="4322BDD0" w:tentative="1">
      <w:start w:val="1"/>
      <w:numFmt w:val="bullet"/>
      <w:lvlText w:val=""/>
      <w:lvlJc w:val="left"/>
      <w:pPr>
        <w:tabs>
          <w:tab w:val="num" w:pos="2880"/>
        </w:tabs>
        <w:ind w:left="2880" w:hanging="360"/>
      </w:pPr>
      <w:rPr>
        <w:rFonts w:ascii="Wingdings" w:hAnsi="Wingdings" w:hint="default"/>
      </w:rPr>
    </w:lvl>
    <w:lvl w:ilvl="4" w:tplc="70503D22" w:tentative="1">
      <w:start w:val="1"/>
      <w:numFmt w:val="bullet"/>
      <w:lvlText w:val=""/>
      <w:lvlJc w:val="left"/>
      <w:pPr>
        <w:tabs>
          <w:tab w:val="num" w:pos="3600"/>
        </w:tabs>
        <w:ind w:left="3600" w:hanging="360"/>
      </w:pPr>
      <w:rPr>
        <w:rFonts w:ascii="Wingdings" w:hAnsi="Wingdings" w:hint="default"/>
      </w:rPr>
    </w:lvl>
    <w:lvl w:ilvl="5" w:tplc="B3F8AF42" w:tentative="1">
      <w:start w:val="1"/>
      <w:numFmt w:val="bullet"/>
      <w:lvlText w:val=""/>
      <w:lvlJc w:val="left"/>
      <w:pPr>
        <w:tabs>
          <w:tab w:val="num" w:pos="4320"/>
        </w:tabs>
        <w:ind w:left="4320" w:hanging="360"/>
      </w:pPr>
      <w:rPr>
        <w:rFonts w:ascii="Wingdings" w:hAnsi="Wingdings" w:hint="default"/>
      </w:rPr>
    </w:lvl>
    <w:lvl w:ilvl="6" w:tplc="1158CEA2" w:tentative="1">
      <w:start w:val="1"/>
      <w:numFmt w:val="bullet"/>
      <w:lvlText w:val=""/>
      <w:lvlJc w:val="left"/>
      <w:pPr>
        <w:tabs>
          <w:tab w:val="num" w:pos="5040"/>
        </w:tabs>
        <w:ind w:left="5040" w:hanging="360"/>
      </w:pPr>
      <w:rPr>
        <w:rFonts w:ascii="Wingdings" w:hAnsi="Wingdings" w:hint="default"/>
      </w:rPr>
    </w:lvl>
    <w:lvl w:ilvl="7" w:tplc="C408DCBC" w:tentative="1">
      <w:start w:val="1"/>
      <w:numFmt w:val="bullet"/>
      <w:lvlText w:val=""/>
      <w:lvlJc w:val="left"/>
      <w:pPr>
        <w:tabs>
          <w:tab w:val="num" w:pos="5760"/>
        </w:tabs>
        <w:ind w:left="5760" w:hanging="360"/>
      </w:pPr>
      <w:rPr>
        <w:rFonts w:ascii="Wingdings" w:hAnsi="Wingdings" w:hint="default"/>
      </w:rPr>
    </w:lvl>
    <w:lvl w:ilvl="8" w:tplc="C150C9A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1F4D03"/>
    <w:multiLevelType w:val="hybridMultilevel"/>
    <w:tmpl w:val="6E120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B43C2"/>
    <w:multiLevelType w:val="hybridMultilevel"/>
    <w:tmpl w:val="0804EBE6"/>
    <w:lvl w:ilvl="0" w:tplc="354885E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932490"/>
    <w:multiLevelType w:val="hybridMultilevel"/>
    <w:tmpl w:val="566E1514"/>
    <w:lvl w:ilvl="0" w:tplc="96269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E86125"/>
    <w:multiLevelType w:val="hybridMultilevel"/>
    <w:tmpl w:val="898AE3E0"/>
    <w:lvl w:ilvl="0" w:tplc="962697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794A7E"/>
    <w:multiLevelType w:val="hybridMultilevel"/>
    <w:tmpl w:val="24B6C6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0"/>
  </w:num>
  <w:num w:numId="5">
    <w:abstractNumId w:val="15"/>
  </w:num>
  <w:num w:numId="6">
    <w:abstractNumId w:val="2"/>
  </w:num>
  <w:num w:numId="7">
    <w:abstractNumId w:val="7"/>
  </w:num>
  <w:num w:numId="8">
    <w:abstractNumId w:val="16"/>
  </w:num>
  <w:num w:numId="9">
    <w:abstractNumId w:val="1"/>
  </w:num>
  <w:num w:numId="10">
    <w:abstractNumId w:val="12"/>
  </w:num>
  <w:num w:numId="11">
    <w:abstractNumId w:val="3"/>
  </w:num>
  <w:num w:numId="12">
    <w:abstractNumId w:val="6"/>
  </w:num>
  <w:num w:numId="13">
    <w:abstractNumId w:val="14"/>
  </w:num>
  <w:num w:numId="14">
    <w:abstractNumId w:val="8"/>
  </w:num>
  <w:num w:numId="15">
    <w:abstractNumId w:val="4"/>
  </w:num>
  <w:num w:numId="16">
    <w:abstractNumId w:val="10"/>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D4"/>
    <w:rsid w:val="00003C7D"/>
    <w:rsid w:val="00016130"/>
    <w:rsid w:val="000245F6"/>
    <w:rsid w:val="00040058"/>
    <w:rsid w:val="00041397"/>
    <w:rsid w:val="00060E94"/>
    <w:rsid w:val="00064C01"/>
    <w:rsid w:val="000A5A1C"/>
    <w:rsid w:val="000D4119"/>
    <w:rsid w:val="000E4E78"/>
    <w:rsid w:val="000F083A"/>
    <w:rsid w:val="001303A7"/>
    <w:rsid w:val="001325CD"/>
    <w:rsid w:val="00134FB6"/>
    <w:rsid w:val="001514E3"/>
    <w:rsid w:val="001515F9"/>
    <w:rsid w:val="00181D87"/>
    <w:rsid w:val="001A2C88"/>
    <w:rsid w:val="001D4F28"/>
    <w:rsid w:val="001D531D"/>
    <w:rsid w:val="001F662D"/>
    <w:rsid w:val="001F6A00"/>
    <w:rsid w:val="0020779F"/>
    <w:rsid w:val="00212757"/>
    <w:rsid w:val="0021557D"/>
    <w:rsid w:val="00216E31"/>
    <w:rsid w:val="0022333A"/>
    <w:rsid w:val="0022616F"/>
    <w:rsid w:val="00231B5B"/>
    <w:rsid w:val="00242875"/>
    <w:rsid w:val="002635F5"/>
    <w:rsid w:val="00277BA5"/>
    <w:rsid w:val="00277F22"/>
    <w:rsid w:val="0028081E"/>
    <w:rsid w:val="00282495"/>
    <w:rsid w:val="00292C53"/>
    <w:rsid w:val="00295324"/>
    <w:rsid w:val="00297B97"/>
    <w:rsid w:val="002B0288"/>
    <w:rsid w:val="002C2194"/>
    <w:rsid w:val="002C4C20"/>
    <w:rsid w:val="002F22B8"/>
    <w:rsid w:val="002F52A4"/>
    <w:rsid w:val="0030696D"/>
    <w:rsid w:val="00323F01"/>
    <w:rsid w:val="00340853"/>
    <w:rsid w:val="00357CA7"/>
    <w:rsid w:val="00371F08"/>
    <w:rsid w:val="00374574"/>
    <w:rsid w:val="00383215"/>
    <w:rsid w:val="00396089"/>
    <w:rsid w:val="003A4F67"/>
    <w:rsid w:val="003B2DBB"/>
    <w:rsid w:val="003C36FC"/>
    <w:rsid w:val="003D03AC"/>
    <w:rsid w:val="003D6911"/>
    <w:rsid w:val="003E4103"/>
    <w:rsid w:val="00400D76"/>
    <w:rsid w:val="004040D6"/>
    <w:rsid w:val="004074B8"/>
    <w:rsid w:val="00415422"/>
    <w:rsid w:val="00416361"/>
    <w:rsid w:val="004353A7"/>
    <w:rsid w:val="00447E80"/>
    <w:rsid w:val="00486201"/>
    <w:rsid w:val="004A04C7"/>
    <w:rsid w:val="004B36C4"/>
    <w:rsid w:val="004C7CD7"/>
    <w:rsid w:val="004D7240"/>
    <w:rsid w:val="004F2793"/>
    <w:rsid w:val="004F3A50"/>
    <w:rsid w:val="00507516"/>
    <w:rsid w:val="005422AC"/>
    <w:rsid w:val="00547AE8"/>
    <w:rsid w:val="00553F67"/>
    <w:rsid w:val="005851D3"/>
    <w:rsid w:val="00597970"/>
    <w:rsid w:val="005A79F2"/>
    <w:rsid w:val="005D4C42"/>
    <w:rsid w:val="005E76BA"/>
    <w:rsid w:val="005F46D6"/>
    <w:rsid w:val="00622237"/>
    <w:rsid w:val="00650B4A"/>
    <w:rsid w:val="00663D04"/>
    <w:rsid w:val="00672F40"/>
    <w:rsid w:val="00677800"/>
    <w:rsid w:val="006815A4"/>
    <w:rsid w:val="006937A5"/>
    <w:rsid w:val="006B6192"/>
    <w:rsid w:val="006B7C39"/>
    <w:rsid w:val="006C25C0"/>
    <w:rsid w:val="006C431B"/>
    <w:rsid w:val="0070000D"/>
    <w:rsid w:val="00713078"/>
    <w:rsid w:val="00722CDA"/>
    <w:rsid w:val="007324E7"/>
    <w:rsid w:val="007365FD"/>
    <w:rsid w:val="00744D4D"/>
    <w:rsid w:val="00777609"/>
    <w:rsid w:val="007837E4"/>
    <w:rsid w:val="007C142D"/>
    <w:rsid w:val="007D0D69"/>
    <w:rsid w:val="007E15B9"/>
    <w:rsid w:val="00800610"/>
    <w:rsid w:val="008068D8"/>
    <w:rsid w:val="00812A5B"/>
    <w:rsid w:val="00816866"/>
    <w:rsid w:val="008240DA"/>
    <w:rsid w:val="00835DAD"/>
    <w:rsid w:val="00837D51"/>
    <w:rsid w:val="00866349"/>
    <w:rsid w:val="00870BF0"/>
    <w:rsid w:val="00870FE1"/>
    <w:rsid w:val="00874F41"/>
    <w:rsid w:val="0089479A"/>
    <w:rsid w:val="00895E4F"/>
    <w:rsid w:val="008A54B2"/>
    <w:rsid w:val="008B3617"/>
    <w:rsid w:val="008C08AC"/>
    <w:rsid w:val="008C68E7"/>
    <w:rsid w:val="008D093C"/>
    <w:rsid w:val="008E272C"/>
    <w:rsid w:val="008E4DA4"/>
    <w:rsid w:val="009108EF"/>
    <w:rsid w:val="00912FA0"/>
    <w:rsid w:val="00913144"/>
    <w:rsid w:val="009150DE"/>
    <w:rsid w:val="00926598"/>
    <w:rsid w:val="00952321"/>
    <w:rsid w:val="009851E9"/>
    <w:rsid w:val="0098645E"/>
    <w:rsid w:val="00995C10"/>
    <w:rsid w:val="009A2B20"/>
    <w:rsid w:val="009B635D"/>
    <w:rsid w:val="009D471D"/>
    <w:rsid w:val="00A022EE"/>
    <w:rsid w:val="00A32982"/>
    <w:rsid w:val="00A3731A"/>
    <w:rsid w:val="00A56C8F"/>
    <w:rsid w:val="00A677BF"/>
    <w:rsid w:val="00A74BCD"/>
    <w:rsid w:val="00A75EC7"/>
    <w:rsid w:val="00A77941"/>
    <w:rsid w:val="00AB7ED5"/>
    <w:rsid w:val="00AC121B"/>
    <w:rsid w:val="00AC54C7"/>
    <w:rsid w:val="00AD15FE"/>
    <w:rsid w:val="00AE46FC"/>
    <w:rsid w:val="00AE5463"/>
    <w:rsid w:val="00B03826"/>
    <w:rsid w:val="00B0633F"/>
    <w:rsid w:val="00B07B80"/>
    <w:rsid w:val="00B14560"/>
    <w:rsid w:val="00B207CE"/>
    <w:rsid w:val="00B41204"/>
    <w:rsid w:val="00B53A80"/>
    <w:rsid w:val="00B54670"/>
    <w:rsid w:val="00B674B2"/>
    <w:rsid w:val="00B776AF"/>
    <w:rsid w:val="00B81CBF"/>
    <w:rsid w:val="00B82D71"/>
    <w:rsid w:val="00B862E5"/>
    <w:rsid w:val="00BA24EA"/>
    <w:rsid w:val="00BB26C4"/>
    <w:rsid w:val="00BD21EF"/>
    <w:rsid w:val="00BE3F7A"/>
    <w:rsid w:val="00BE4570"/>
    <w:rsid w:val="00BE77C9"/>
    <w:rsid w:val="00C01DCE"/>
    <w:rsid w:val="00C07659"/>
    <w:rsid w:val="00C22671"/>
    <w:rsid w:val="00C26181"/>
    <w:rsid w:val="00C5483A"/>
    <w:rsid w:val="00C83FB2"/>
    <w:rsid w:val="00C91A5F"/>
    <w:rsid w:val="00C92841"/>
    <w:rsid w:val="00C9447F"/>
    <w:rsid w:val="00C95DB2"/>
    <w:rsid w:val="00CA0189"/>
    <w:rsid w:val="00CB133F"/>
    <w:rsid w:val="00D04888"/>
    <w:rsid w:val="00D218A5"/>
    <w:rsid w:val="00D26E77"/>
    <w:rsid w:val="00D357D4"/>
    <w:rsid w:val="00D35FD2"/>
    <w:rsid w:val="00D45DAD"/>
    <w:rsid w:val="00D46A1A"/>
    <w:rsid w:val="00D549E1"/>
    <w:rsid w:val="00D636C6"/>
    <w:rsid w:val="00D75592"/>
    <w:rsid w:val="00D80473"/>
    <w:rsid w:val="00D82443"/>
    <w:rsid w:val="00D82B97"/>
    <w:rsid w:val="00D82E59"/>
    <w:rsid w:val="00D87211"/>
    <w:rsid w:val="00DB1E7B"/>
    <w:rsid w:val="00DB3D0C"/>
    <w:rsid w:val="00DB4E4D"/>
    <w:rsid w:val="00DC19FC"/>
    <w:rsid w:val="00DD0B5B"/>
    <w:rsid w:val="00DE0D92"/>
    <w:rsid w:val="00DF7EBE"/>
    <w:rsid w:val="00E131F0"/>
    <w:rsid w:val="00E25B54"/>
    <w:rsid w:val="00E35611"/>
    <w:rsid w:val="00E54156"/>
    <w:rsid w:val="00E62362"/>
    <w:rsid w:val="00E707DD"/>
    <w:rsid w:val="00E73A5D"/>
    <w:rsid w:val="00E76B01"/>
    <w:rsid w:val="00E77643"/>
    <w:rsid w:val="00E800C1"/>
    <w:rsid w:val="00E82B0C"/>
    <w:rsid w:val="00E85088"/>
    <w:rsid w:val="00E9192C"/>
    <w:rsid w:val="00E93239"/>
    <w:rsid w:val="00E93313"/>
    <w:rsid w:val="00EC186B"/>
    <w:rsid w:val="00EC3CAC"/>
    <w:rsid w:val="00EC3CCB"/>
    <w:rsid w:val="00EE1643"/>
    <w:rsid w:val="00EE1FD1"/>
    <w:rsid w:val="00EE6D50"/>
    <w:rsid w:val="00F05726"/>
    <w:rsid w:val="00F13248"/>
    <w:rsid w:val="00F21512"/>
    <w:rsid w:val="00F31E95"/>
    <w:rsid w:val="00F362D8"/>
    <w:rsid w:val="00F54FA1"/>
    <w:rsid w:val="00F6662A"/>
    <w:rsid w:val="00F81149"/>
    <w:rsid w:val="00F97E33"/>
    <w:rsid w:val="00FA381A"/>
    <w:rsid w:val="00FD151D"/>
    <w:rsid w:val="00FD243F"/>
    <w:rsid w:val="00FE3E68"/>
    <w:rsid w:val="00FF0E41"/>
    <w:rsid w:val="00FF2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9348A1"/>
  <w15:chartTrackingRefBased/>
  <w15:docId w15:val="{A5F97A55-EFA1-445C-A966-D16C80F41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2362"/>
    <w:pPr>
      <w:ind w:left="720"/>
      <w:contextualSpacing/>
    </w:pPr>
  </w:style>
  <w:style w:type="paragraph" w:styleId="Notedebasdepage">
    <w:name w:val="footnote text"/>
    <w:basedOn w:val="Normal"/>
    <w:link w:val="NotedebasdepageCar"/>
    <w:uiPriority w:val="99"/>
    <w:semiHidden/>
    <w:unhideWhenUsed/>
    <w:rsid w:val="000E4E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4E78"/>
    <w:rPr>
      <w:sz w:val="20"/>
      <w:szCs w:val="20"/>
    </w:rPr>
  </w:style>
  <w:style w:type="character" w:styleId="Appelnotedebasdep">
    <w:name w:val="footnote reference"/>
    <w:basedOn w:val="Policepardfaut"/>
    <w:uiPriority w:val="99"/>
    <w:semiHidden/>
    <w:unhideWhenUsed/>
    <w:rsid w:val="000E4E78"/>
    <w:rPr>
      <w:vertAlign w:val="superscript"/>
    </w:rPr>
  </w:style>
  <w:style w:type="table" w:styleId="Grilledutableau">
    <w:name w:val="Table Grid"/>
    <w:basedOn w:val="TableauNormal"/>
    <w:uiPriority w:val="39"/>
    <w:rsid w:val="00212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8947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En-tte">
    <w:name w:val="header"/>
    <w:basedOn w:val="Normal"/>
    <w:link w:val="En-tteCar"/>
    <w:uiPriority w:val="99"/>
    <w:unhideWhenUsed/>
    <w:rsid w:val="00B207CE"/>
    <w:pPr>
      <w:tabs>
        <w:tab w:val="center" w:pos="4536"/>
        <w:tab w:val="right" w:pos="9072"/>
      </w:tabs>
      <w:spacing w:after="0" w:line="240" w:lineRule="auto"/>
    </w:pPr>
  </w:style>
  <w:style w:type="character" w:customStyle="1" w:styleId="En-tteCar">
    <w:name w:val="En-tête Car"/>
    <w:basedOn w:val="Policepardfaut"/>
    <w:link w:val="En-tte"/>
    <w:uiPriority w:val="99"/>
    <w:rsid w:val="00B207CE"/>
  </w:style>
  <w:style w:type="paragraph" w:styleId="Pieddepage">
    <w:name w:val="footer"/>
    <w:basedOn w:val="Normal"/>
    <w:link w:val="PieddepageCar"/>
    <w:uiPriority w:val="99"/>
    <w:unhideWhenUsed/>
    <w:rsid w:val="00B207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07CE"/>
  </w:style>
  <w:style w:type="character" w:styleId="Lienhypertexte">
    <w:name w:val="Hyperlink"/>
    <w:basedOn w:val="Policepardfaut"/>
    <w:uiPriority w:val="99"/>
    <w:unhideWhenUsed/>
    <w:rsid w:val="00D82E59"/>
    <w:rPr>
      <w:color w:val="0563C1" w:themeColor="hyperlink"/>
      <w:u w:val="single"/>
    </w:rPr>
  </w:style>
  <w:style w:type="character" w:styleId="Marquedecommentaire">
    <w:name w:val="annotation reference"/>
    <w:basedOn w:val="Policepardfaut"/>
    <w:uiPriority w:val="99"/>
    <w:semiHidden/>
    <w:unhideWhenUsed/>
    <w:rsid w:val="00D80473"/>
    <w:rPr>
      <w:sz w:val="16"/>
      <w:szCs w:val="16"/>
    </w:rPr>
  </w:style>
  <w:style w:type="paragraph" w:styleId="Commentaire">
    <w:name w:val="annotation text"/>
    <w:basedOn w:val="Normal"/>
    <w:link w:val="CommentaireCar"/>
    <w:uiPriority w:val="99"/>
    <w:unhideWhenUsed/>
    <w:rsid w:val="00D80473"/>
    <w:pPr>
      <w:spacing w:line="240" w:lineRule="auto"/>
    </w:pPr>
    <w:rPr>
      <w:sz w:val="20"/>
      <w:szCs w:val="20"/>
    </w:rPr>
  </w:style>
  <w:style w:type="character" w:customStyle="1" w:styleId="CommentaireCar">
    <w:name w:val="Commentaire Car"/>
    <w:basedOn w:val="Policepardfaut"/>
    <w:link w:val="Commentaire"/>
    <w:uiPriority w:val="99"/>
    <w:rsid w:val="00D80473"/>
    <w:rPr>
      <w:sz w:val="20"/>
      <w:szCs w:val="20"/>
    </w:rPr>
  </w:style>
  <w:style w:type="paragraph" w:styleId="Objetducommentaire">
    <w:name w:val="annotation subject"/>
    <w:basedOn w:val="Commentaire"/>
    <w:next w:val="Commentaire"/>
    <w:link w:val="ObjetducommentaireCar"/>
    <w:uiPriority w:val="99"/>
    <w:semiHidden/>
    <w:unhideWhenUsed/>
    <w:rsid w:val="00D80473"/>
    <w:rPr>
      <w:b/>
      <w:bCs/>
    </w:rPr>
  </w:style>
  <w:style w:type="character" w:customStyle="1" w:styleId="ObjetducommentaireCar">
    <w:name w:val="Objet du commentaire Car"/>
    <w:basedOn w:val="CommentaireCar"/>
    <w:link w:val="Objetducommentaire"/>
    <w:uiPriority w:val="99"/>
    <w:semiHidden/>
    <w:rsid w:val="00D80473"/>
    <w:rPr>
      <w:b/>
      <w:bCs/>
      <w:sz w:val="20"/>
      <w:szCs w:val="20"/>
    </w:rPr>
  </w:style>
  <w:style w:type="paragraph" w:styleId="Textedebulles">
    <w:name w:val="Balloon Text"/>
    <w:basedOn w:val="Normal"/>
    <w:link w:val="TextedebullesCar"/>
    <w:uiPriority w:val="99"/>
    <w:semiHidden/>
    <w:unhideWhenUsed/>
    <w:rsid w:val="00D804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0473"/>
    <w:rPr>
      <w:rFonts w:ascii="Segoe UI" w:hAnsi="Segoe UI" w:cs="Segoe UI"/>
      <w:sz w:val="18"/>
      <w:szCs w:val="18"/>
    </w:rPr>
  </w:style>
  <w:style w:type="paragraph" w:styleId="Titre">
    <w:name w:val="Title"/>
    <w:basedOn w:val="Normal"/>
    <w:next w:val="Normal"/>
    <w:link w:val="TitreCar"/>
    <w:uiPriority w:val="10"/>
    <w:qFormat/>
    <w:rsid w:val="00547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47AE8"/>
    <w:rPr>
      <w:rFonts w:asciiTheme="majorHAnsi" w:eastAsiaTheme="majorEastAsia" w:hAnsiTheme="majorHAnsi" w:cstheme="majorBidi"/>
      <w:spacing w:val="-10"/>
      <w:kern w:val="28"/>
      <w:sz w:val="56"/>
      <w:szCs w:val="56"/>
    </w:rPr>
  </w:style>
  <w:style w:type="paragraph" w:styleId="Rvision">
    <w:name w:val="Revision"/>
    <w:hidden/>
    <w:uiPriority w:val="99"/>
    <w:semiHidden/>
    <w:rsid w:val="00912FA0"/>
    <w:pPr>
      <w:spacing w:after="0" w:line="240" w:lineRule="auto"/>
    </w:pPr>
  </w:style>
  <w:style w:type="paragraph" w:customStyle="1" w:styleId="ServiceInfoHeader">
    <w:name w:val="Service Info Header"/>
    <w:basedOn w:val="En-tte"/>
    <w:next w:val="Corpsdetexte"/>
    <w:link w:val="ServiceInfoHeaderCar"/>
    <w:qFormat/>
    <w:rsid w:val="009851E9"/>
    <w:pPr>
      <w:widowControl w:val="0"/>
      <w:tabs>
        <w:tab w:val="clear" w:pos="4536"/>
        <w:tab w:val="clear" w:pos="9072"/>
        <w:tab w:val="right" w:pos="9026"/>
      </w:tabs>
      <w:autoSpaceDE w:val="0"/>
      <w:autoSpaceDN w:val="0"/>
      <w:jc w:val="right"/>
    </w:pPr>
    <w:rPr>
      <w:rFonts w:ascii="Arial" w:eastAsia="Calibri" w:hAnsi="Arial" w:cs="Arial"/>
      <w:b/>
      <w:bCs/>
      <w:sz w:val="24"/>
      <w:szCs w:val="24"/>
      <w:lang w:val="en-US" w:eastAsia="fr-FR"/>
    </w:rPr>
  </w:style>
  <w:style w:type="character" w:customStyle="1" w:styleId="ServiceInfoHeaderCar">
    <w:name w:val="Service Info Header Car"/>
    <w:basedOn w:val="En-tteCar"/>
    <w:link w:val="ServiceInfoHeader"/>
    <w:rsid w:val="009851E9"/>
    <w:rPr>
      <w:rFonts w:ascii="Arial" w:eastAsia="Calibri" w:hAnsi="Arial" w:cs="Arial"/>
      <w:b/>
      <w:bCs/>
      <w:sz w:val="24"/>
      <w:szCs w:val="24"/>
      <w:lang w:val="en-US" w:eastAsia="fr-FR"/>
    </w:rPr>
  </w:style>
  <w:style w:type="paragraph" w:styleId="Corpsdetexte">
    <w:name w:val="Body Text"/>
    <w:basedOn w:val="Normal"/>
    <w:link w:val="CorpsdetexteCar"/>
    <w:uiPriority w:val="99"/>
    <w:semiHidden/>
    <w:unhideWhenUsed/>
    <w:rsid w:val="009851E9"/>
    <w:pPr>
      <w:spacing w:after="120"/>
    </w:pPr>
  </w:style>
  <w:style w:type="character" w:customStyle="1" w:styleId="CorpsdetexteCar">
    <w:name w:val="Corps de texte Car"/>
    <w:basedOn w:val="Policepardfaut"/>
    <w:link w:val="Corpsdetexte"/>
    <w:uiPriority w:val="99"/>
    <w:semiHidden/>
    <w:rsid w:val="00985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00547">
      <w:bodyDiv w:val="1"/>
      <w:marLeft w:val="0"/>
      <w:marRight w:val="0"/>
      <w:marTop w:val="0"/>
      <w:marBottom w:val="0"/>
      <w:divBdr>
        <w:top w:val="none" w:sz="0" w:space="0" w:color="auto"/>
        <w:left w:val="none" w:sz="0" w:space="0" w:color="auto"/>
        <w:bottom w:val="none" w:sz="0" w:space="0" w:color="auto"/>
        <w:right w:val="none" w:sz="0" w:space="0" w:color="auto"/>
      </w:divBdr>
      <w:divsChild>
        <w:div w:id="1542128975">
          <w:marLeft w:val="720"/>
          <w:marRight w:val="0"/>
          <w:marTop w:val="120"/>
          <w:marBottom w:val="0"/>
          <w:divBdr>
            <w:top w:val="none" w:sz="0" w:space="0" w:color="auto"/>
            <w:left w:val="none" w:sz="0" w:space="0" w:color="auto"/>
            <w:bottom w:val="none" w:sz="0" w:space="0" w:color="auto"/>
            <w:right w:val="none" w:sz="0" w:space="0" w:color="auto"/>
          </w:divBdr>
        </w:div>
        <w:div w:id="811603856">
          <w:marLeft w:val="1440"/>
          <w:marRight w:val="0"/>
          <w:marTop w:val="120"/>
          <w:marBottom w:val="0"/>
          <w:divBdr>
            <w:top w:val="none" w:sz="0" w:space="0" w:color="auto"/>
            <w:left w:val="none" w:sz="0" w:space="0" w:color="auto"/>
            <w:bottom w:val="none" w:sz="0" w:space="0" w:color="auto"/>
            <w:right w:val="none" w:sz="0" w:space="0" w:color="auto"/>
          </w:divBdr>
        </w:div>
        <w:div w:id="1343969805">
          <w:marLeft w:val="1440"/>
          <w:marRight w:val="0"/>
          <w:marTop w:val="120"/>
          <w:marBottom w:val="0"/>
          <w:divBdr>
            <w:top w:val="none" w:sz="0" w:space="0" w:color="auto"/>
            <w:left w:val="none" w:sz="0" w:space="0" w:color="auto"/>
            <w:bottom w:val="none" w:sz="0" w:space="0" w:color="auto"/>
            <w:right w:val="none" w:sz="0" w:space="0" w:color="auto"/>
          </w:divBdr>
        </w:div>
        <w:div w:id="1113742545">
          <w:marLeft w:val="1440"/>
          <w:marRight w:val="0"/>
          <w:marTop w:val="120"/>
          <w:marBottom w:val="0"/>
          <w:divBdr>
            <w:top w:val="none" w:sz="0" w:space="0" w:color="auto"/>
            <w:left w:val="none" w:sz="0" w:space="0" w:color="auto"/>
            <w:bottom w:val="none" w:sz="0" w:space="0" w:color="auto"/>
            <w:right w:val="none" w:sz="0" w:space="0" w:color="auto"/>
          </w:divBdr>
        </w:div>
      </w:divsChild>
    </w:div>
    <w:div w:id="1549025069">
      <w:bodyDiv w:val="1"/>
      <w:marLeft w:val="0"/>
      <w:marRight w:val="0"/>
      <w:marTop w:val="0"/>
      <w:marBottom w:val="0"/>
      <w:divBdr>
        <w:top w:val="none" w:sz="0" w:space="0" w:color="auto"/>
        <w:left w:val="none" w:sz="0" w:space="0" w:color="auto"/>
        <w:bottom w:val="none" w:sz="0" w:space="0" w:color="auto"/>
        <w:right w:val="none" w:sz="0" w:space="0" w:color="auto"/>
      </w:divBdr>
      <w:divsChild>
        <w:div w:id="7578702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arches-simplifiees.fr/commencer/ami-coop-expertise-infirmiere-soins-palliatif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TexteArticle.do?idArticle=JORFARTI000038821351&amp;cidTexte=JORFTEXT000038821260&amp;categorieLien=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63BF5-82AE-456B-8839-88347588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Pages>
  <Words>995</Words>
  <Characters>5474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FEUILLEBOIS, Brigitte 2 (DGOS/SOUS-DIR DES RESS HUMAINES SYSTEME SANTE/RH2)</dc:creator>
  <cp:keywords/>
  <dc:description/>
  <cp:lastModifiedBy>FEUILLEBOIS, Brigitte (DGOS/DIRECTION/DIR)</cp:lastModifiedBy>
  <cp:revision>24</cp:revision>
  <dcterms:created xsi:type="dcterms:W3CDTF">2022-10-24T16:55:00Z</dcterms:created>
  <dcterms:modified xsi:type="dcterms:W3CDTF">2023-03-08T22:30:00Z</dcterms:modified>
</cp:coreProperties>
</file>