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836F" w14:textId="5FA9211C" w:rsidR="001E7A69" w:rsidRDefault="00962BB3" w:rsidP="002840C5">
      <w:pPr>
        <w:tabs>
          <w:tab w:val="left" w:pos="5103"/>
          <w:tab w:val="left" w:pos="5387"/>
        </w:tabs>
        <w:rPr>
          <w:b/>
        </w:rPr>
      </w:pPr>
      <w:r>
        <w:rPr>
          <w:b/>
        </w:rPr>
        <w:tab/>
      </w:r>
    </w:p>
    <w:p w14:paraId="48884F58" w14:textId="77777777" w:rsidR="00962BB3" w:rsidRPr="007539B4" w:rsidRDefault="00962BB3" w:rsidP="002840C5">
      <w:pPr>
        <w:shd w:val="clear" w:color="auto" w:fill="B6DDE8" w:themeFill="accent5" w:themeFillTint="66"/>
        <w:jc w:val="center"/>
        <w:rPr>
          <w:b/>
        </w:rPr>
      </w:pPr>
    </w:p>
    <w:p w14:paraId="5A0D8350" w14:textId="1F2184C8" w:rsidR="001E7A69" w:rsidRPr="007539B4" w:rsidRDefault="005F4DC8" w:rsidP="002840C5">
      <w:pPr>
        <w:shd w:val="clear" w:color="auto" w:fill="B6DDE8" w:themeFill="accent5" w:themeFillTint="66"/>
        <w:jc w:val="center"/>
        <w:rPr>
          <w:b/>
          <w:sz w:val="40"/>
          <w:szCs w:val="36"/>
        </w:rPr>
      </w:pPr>
      <w:r w:rsidRPr="007539B4">
        <w:rPr>
          <w:b/>
          <w:sz w:val="40"/>
          <w:szCs w:val="36"/>
        </w:rPr>
        <w:t>Annexe :</w:t>
      </w:r>
    </w:p>
    <w:p w14:paraId="53738BB9" w14:textId="18AC5C96" w:rsidR="00777561" w:rsidRPr="007539B4" w:rsidRDefault="00962BB3" w:rsidP="002840C5">
      <w:pPr>
        <w:shd w:val="clear" w:color="auto" w:fill="B6DDE8" w:themeFill="accent5" w:themeFillTint="66"/>
        <w:jc w:val="center"/>
        <w:rPr>
          <w:b/>
          <w:sz w:val="40"/>
          <w:szCs w:val="36"/>
        </w:rPr>
      </w:pPr>
      <w:r w:rsidRPr="007539B4">
        <w:rPr>
          <w:b/>
          <w:sz w:val="40"/>
          <w:szCs w:val="36"/>
        </w:rPr>
        <w:t xml:space="preserve">Cahier des charges </w:t>
      </w:r>
      <w:r w:rsidR="002E642B" w:rsidRPr="007539B4">
        <w:rPr>
          <w:b/>
          <w:sz w:val="40"/>
          <w:szCs w:val="36"/>
        </w:rPr>
        <w:t xml:space="preserve">de </w:t>
      </w:r>
      <w:r w:rsidRPr="007539B4">
        <w:rPr>
          <w:b/>
          <w:sz w:val="40"/>
          <w:szCs w:val="36"/>
        </w:rPr>
        <w:t xml:space="preserve">l’appel à projets </w:t>
      </w:r>
      <w:r w:rsidR="00401582" w:rsidRPr="007539B4">
        <w:rPr>
          <w:b/>
          <w:sz w:val="40"/>
          <w:szCs w:val="36"/>
        </w:rPr>
        <w:t>sur l’accompagnement</w:t>
      </w:r>
      <w:r w:rsidR="002E642B" w:rsidRPr="007539B4">
        <w:rPr>
          <w:b/>
          <w:sz w:val="40"/>
          <w:szCs w:val="36"/>
        </w:rPr>
        <w:t xml:space="preserve"> et le soutien scolaire </w:t>
      </w:r>
      <w:r w:rsidR="00401582" w:rsidRPr="007539B4">
        <w:rPr>
          <w:b/>
          <w:sz w:val="40"/>
          <w:szCs w:val="36"/>
        </w:rPr>
        <w:t xml:space="preserve">des enfants et des jeunes confiés aux services départementaux de </w:t>
      </w:r>
      <w:proofErr w:type="gramStart"/>
      <w:r w:rsidR="00401582" w:rsidRPr="007539B4">
        <w:rPr>
          <w:b/>
          <w:sz w:val="40"/>
          <w:szCs w:val="36"/>
        </w:rPr>
        <w:t>l’aide</w:t>
      </w:r>
      <w:proofErr w:type="gramEnd"/>
      <w:r w:rsidR="00401582" w:rsidRPr="007539B4">
        <w:rPr>
          <w:b/>
          <w:sz w:val="40"/>
          <w:szCs w:val="36"/>
        </w:rPr>
        <w:t xml:space="preserve"> sociale à l’enfance</w:t>
      </w:r>
    </w:p>
    <w:p w14:paraId="2F5489D0" w14:textId="77777777" w:rsidR="001E7A69" w:rsidRDefault="001E7A69" w:rsidP="002840C5">
      <w:pPr>
        <w:shd w:val="clear" w:color="auto" w:fill="B6DDE8" w:themeFill="accent5" w:themeFillTint="66"/>
        <w:jc w:val="center"/>
        <w:rPr>
          <w:b/>
        </w:rPr>
      </w:pPr>
    </w:p>
    <w:p w14:paraId="5937CE26" w14:textId="5CF7ED35" w:rsidR="00962BB3" w:rsidRPr="00962BB3" w:rsidRDefault="002840C5" w:rsidP="00962BB3">
      <w:pPr>
        <w:jc w:val="center"/>
        <w:rPr>
          <w:b/>
        </w:rPr>
      </w:pPr>
      <w:r>
        <w:rPr>
          <w:b/>
          <w:noProof/>
          <w:lang w:eastAsia="fr-FR"/>
        </w:rPr>
        <w:drawing>
          <wp:inline distT="0" distB="0" distL="0" distR="0" wp14:anchorId="17C03FDD" wp14:editId="2DFCF962">
            <wp:extent cx="1609725" cy="16764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a:ln>
                      <a:noFill/>
                    </a:ln>
                  </pic:spPr>
                </pic:pic>
              </a:graphicData>
            </a:graphic>
          </wp:inline>
        </w:drawing>
      </w:r>
    </w:p>
    <w:p w14:paraId="4CEC5CA0" w14:textId="50D9AB62" w:rsidR="00B47923" w:rsidRDefault="00B47923"/>
    <w:p w14:paraId="4990BED8" w14:textId="50F6420E" w:rsidR="00F7402F" w:rsidRDefault="00F7402F"/>
    <w:p w14:paraId="1250E7E8" w14:textId="77777777" w:rsidR="00F7402F" w:rsidRDefault="00F7402F"/>
    <w:p w14:paraId="124BEFE5" w14:textId="454C2321" w:rsidR="00F7402F" w:rsidRPr="00F7402F" w:rsidRDefault="008704AE" w:rsidP="00F7402F">
      <w:pPr>
        <w:pBdr>
          <w:top w:val="single" w:sz="4" w:space="1" w:color="auto"/>
          <w:left w:val="single" w:sz="4" w:space="4" w:color="auto"/>
          <w:bottom w:val="single" w:sz="4" w:space="1" w:color="auto"/>
          <w:right w:val="single" w:sz="4" w:space="4" w:color="auto"/>
        </w:pBdr>
        <w:jc w:val="center"/>
        <w:rPr>
          <w:b/>
        </w:rPr>
      </w:pPr>
      <w:r w:rsidRPr="00F7402F">
        <w:rPr>
          <w:b/>
        </w:rPr>
        <w:t>Porté par la Direction générale de la cohésion sociale (DGCS)</w:t>
      </w:r>
    </w:p>
    <w:p w14:paraId="22AA3148" w14:textId="53878D7E" w:rsidR="00B47923" w:rsidRPr="00F7402F" w:rsidRDefault="008704AE" w:rsidP="008704AE">
      <w:pPr>
        <w:pBdr>
          <w:top w:val="single" w:sz="4" w:space="1" w:color="auto"/>
          <w:left w:val="single" w:sz="4" w:space="4" w:color="auto"/>
          <w:bottom w:val="single" w:sz="4" w:space="1" w:color="auto"/>
          <w:right w:val="single" w:sz="4" w:space="4" w:color="auto"/>
        </w:pBdr>
        <w:jc w:val="center"/>
        <w:rPr>
          <w:b/>
        </w:rPr>
      </w:pPr>
      <w:r w:rsidRPr="00F7402F">
        <w:rPr>
          <w:b/>
        </w:rPr>
        <w:t>Bureau de la protection de l’enfance et de l’adolescence</w:t>
      </w:r>
    </w:p>
    <w:p w14:paraId="6ED074AA" w14:textId="7D9B7160" w:rsidR="008704AE" w:rsidRDefault="00633AB5" w:rsidP="008704AE">
      <w:pPr>
        <w:pBdr>
          <w:top w:val="single" w:sz="4" w:space="1" w:color="auto"/>
          <w:left w:val="single" w:sz="4" w:space="4" w:color="auto"/>
          <w:bottom w:val="single" w:sz="4" w:space="1" w:color="auto"/>
          <w:right w:val="single" w:sz="4" w:space="4" w:color="auto"/>
        </w:pBdr>
        <w:jc w:val="center"/>
      </w:pPr>
      <w:hyperlink r:id="rId9" w:history="1">
        <w:r w:rsidR="008704AE" w:rsidRPr="006021CC">
          <w:rPr>
            <w:rStyle w:val="Lienhypertexte"/>
          </w:rPr>
          <w:t>DGCS-PROTECTION-ENFANCE@social.gouv.fr</w:t>
        </w:r>
      </w:hyperlink>
    </w:p>
    <w:p w14:paraId="235ABC48" w14:textId="77777777" w:rsidR="008704AE" w:rsidRDefault="008704AE" w:rsidP="008704AE">
      <w:pPr>
        <w:jc w:val="center"/>
      </w:pPr>
    </w:p>
    <w:p w14:paraId="763151BF" w14:textId="7370789E" w:rsidR="00962BB3" w:rsidRPr="00F7402F" w:rsidRDefault="001E7A69" w:rsidP="00972E17">
      <w:pPr>
        <w:pStyle w:val="Titre2"/>
        <w:numPr>
          <w:ilvl w:val="0"/>
          <w:numId w:val="2"/>
        </w:numPr>
        <w:rPr>
          <w:color w:val="00B0F0"/>
        </w:rPr>
      </w:pPr>
      <w:r w:rsidRPr="00F7402F">
        <w:rPr>
          <w:color w:val="00B0F0"/>
        </w:rPr>
        <w:lastRenderedPageBreak/>
        <w:t xml:space="preserve">Contexte de l’appel à </w:t>
      </w:r>
      <w:r w:rsidR="00401582" w:rsidRPr="00F7402F">
        <w:rPr>
          <w:color w:val="00B0F0"/>
        </w:rPr>
        <w:t>projets</w:t>
      </w:r>
    </w:p>
    <w:p w14:paraId="5D1A0E3C" w14:textId="77777777" w:rsidR="00972E17" w:rsidRPr="00401582" w:rsidRDefault="00972E17" w:rsidP="000640D6">
      <w:pPr>
        <w:pStyle w:val="Sansinterligne"/>
        <w:rPr>
          <w:color w:val="F79646" w:themeColor="accent6"/>
        </w:rPr>
      </w:pPr>
    </w:p>
    <w:p w14:paraId="5FE1831F" w14:textId="52B98E34" w:rsidR="009E0085" w:rsidRDefault="009E0085" w:rsidP="009E0085">
      <w:pPr>
        <w:jc w:val="both"/>
      </w:pPr>
      <w:r>
        <w:t xml:space="preserve">L’éducation est un droit reconnu par la Convention internationale des droits de l’enfant (article 28) et l’instruction est une obligation </w:t>
      </w:r>
      <w:r w:rsidR="002E642B">
        <w:t xml:space="preserve">inscrite à </w:t>
      </w:r>
      <w:r>
        <w:t xml:space="preserve">l’article L. 131-1 du code de l’éducation. </w:t>
      </w:r>
    </w:p>
    <w:p w14:paraId="5CE9DE98" w14:textId="671243D0" w:rsidR="00E062BA" w:rsidRPr="00E062BA" w:rsidRDefault="009E0085" w:rsidP="00E062BA">
      <w:pPr>
        <w:jc w:val="both"/>
      </w:pPr>
      <w:r>
        <w:t>Pourtant</w:t>
      </w:r>
      <w:r w:rsidR="008704AE">
        <w:t>,</w:t>
      </w:r>
      <w:r>
        <w:t xml:space="preserve"> les études existantes sur la scolarité des enfants protégés s’accordent à dire que ces enfants sont confrontés à davantage de difficultés </w:t>
      </w:r>
      <w:r w:rsidR="00286C43">
        <w:t>dans</w:t>
      </w:r>
      <w:r>
        <w:t xml:space="preserve"> leurs parcours scolaires et leur insertion professionnelle. </w:t>
      </w:r>
      <w:r w:rsidR="00073253">
        <w:t>D’après les données de la DREES (juillet 2013), 60% d</w:t>
      </w:r>
      <w:r w:rsidR="00495D3C">
        <w:t>es enfants confiés ont redoublé</w:t>
      </w:r>
      <w:r w:rsidR="00073253">
        <w:t xml:space="preserve"> au moins une fois et 39% d’entre eux dès l’école primaire. Nombreux sont ceux qui quittent les bancs de l’école à la fin de la scolarité obligatoire, voire avant (la déscolarisation des enfants protégés étant importante), </w:t>
      </w:r>
      <w:r>
        <w:t xml:space="preserve">sans pour autant se lancer dans la vie professionnelle : à 16 ans 15,8% des enfants confiés ne sont plus scolarisé contre 5,8% en population générale. </w:t>
      </w:r>
      <w:r w:rsidR="00E062BA">
        <w:t>En outre, t</w:t>
      </w:r>
      <w:r w:rsidR="00E062BA" w:rsidRPr="00E062BA">
        <w:t>rès peu de partenariats existent entre des associations intervenant dans le soutien scolaire et les lieux d’accueil, faute de financements, de temps ou de disponibilités pour les conseils départementaux et les associations.</w:t>
      </w:r>
    </w:p>
    <w:p w14:paraId="4B7A6A10" w14:textId="18E3DF6E" w:rsidR="00E062BA" w:rsidRDefault="00E062BA" w:rsidP="009E0085">
      <w:pPr>
        <w:jc w:val="both"/>
      </w:pPr>
      <w:r>
        <w:t>C’est pourquoi</w:t>
      </w:r>
      <w:r w:rsidR="00286C43">
        <w:t>,</w:t>
      </w:r>
      <w:r>
        <w:t xml:space="preserve"> </w:t>
      </w:r>
      <w:r w:rsidRPr="008704AE">
        <w:rPr>
          <w:b/>
          <w:u w:val="single"/>
        </w:rPr>
        <w:t xml:space="preserve">la </w:t>
      </w:r>
      <w:r w:rsidR="002E642B">
        <w:rPr>
          <w:b/>
          <w:u w:val="single"/>
        </w:rPr>
        <w:t>S</w:t>
      </w:r>
      <w:r w:rsidRPr="008704AE">
        <w:rPr>
          <w:b/>
          <w:u w:val="single"/>
        </w:rPr>
        <w:t>tratégie nationale de prévention et de protection de l’enfance 2020-2022</w:t>
      </w:r>
      <w:r>
        <w:t xml:space="preserve">, lancée </w:t>
      </w:r>
      <w:r w:rsidR="000D19C3">
        <w:t xml:space="preserve">en octobre 2019 </w:t>
      </w:r>
      <w:r>
        <w:t xml:space="preserve">par Adrien Taquet, Secrétaire d’Etat chargé de l’enfance et des familles, porte l’ambition de garantir aux enfants protégés un </w:t>
      </w:r>
      <w:r w:rsidRPr="00E062BA">
        <w:t xml:space="preserve">accès à la scolarité et un accompagnement </w:t>
      </w:r>
      <w:r>
        <w:t xml:space="preserve">scolaire adapté. </w:t>
      </w:r>
    </w:p>
    <w:p w14:paraId="0E4DDB39" w14:textId="14B8D0DD" w:rsidR="00E062BA" w:rsidRDefault="00286C43" w:rsidP="009E0085">
      <w:pPr>
        <w:jc w:val="both"/>
        <w:rPr>
          <w:b/>
          <w:u w:val="single"/>
        </w:rPr>
      </w:pPr>
      <w:r w:rsidRPr="009920AB">
        <w:rPr>
          <w:b/>
          <w:u w:val="single"/>
        </w:rPr>
        <w:t>L</w:t>
      </w:r>
      <w:r w:rsidR="008704AE">
        <w:rPr>
          <w:b/>
          <w:u w:val="single"/>
        </w:rPr>
        <w:t xml:space="preserve">e présent </w:t>
      </w:r>
      <w:r w:rsidRPr="009920AB">
        <w:rPr>
          <w:b/>
          <w:u w:val="single"/>
        </w:rPr>
        <w:t>ap</w:t>
      </w:r>
      <w:r w:rsidR="002E642B">
        <w:rPr>
          <w:b/>
          <w:u w:val="single"/>
        </w:rPr>
        <w:t>pel à projets</w:t>
      </w:r>
      <w:r w:rsidR="00B5691D">
        <w:rPr>
          <w:b/>
          <w:u w:val="single"/>
        </w:rPr>
        <w:t>,</w:t>
      </w:r>
      <w:r w:rsidR="002E642B">
        <w:rPr>
          <w:b/>
          <w:u w:val="single"/>
        </w:rPr>
        <w:t xml:space="preserve"> </w:t>
      </w:r>
      <w:r w:rsidR="00B5691D" w:rsidRPr="00177B37">
        <w:rPr>
          <w:b/>
          <w:u w:val="single"/>
        </w:rPr>
        <w:t>déjà publié en 2020,</w:t>
      </w:r>
      <w:r w:rsidR="00B5691D">
        <w:rPr>
          <w:b/>
          <w:u w:val="single"/>
        </w:rPr>
        <w:t xml:space="preserve"> </w:t>
      </w:r>
      <w:r w:rsidR="0032530A">
        <w:rPr>
          <w:b/>
          <w:u w:val="single"/>
        </w:rPr>
        <w:t>s’inscrit dans une logique de renforcement par rapport aux</w:t>
      </w:r>
      <w:r w:rsidR="002E642B">
        <w:rPr>
          <w:b/>
          <w:u w:val="single"/>
        </w:rPr>
        <w:t xml:space="preserve"> </w:t>
      </w:r>
      <w:r w:rsidRPr="009920AB">
        <w:rPr>
          <w:b/>
          <w:u w:val="single"/>
        </w:rPr>
        <w:t>actions</w:t>
      </w:r>
      <w:r w:rsidR="002E642B">
        <w:rPr>
          <w:b/>
          <w:u w:val="single"/>
        </w:rPr>
        <w:t xml:space="preserve"> des départements et de l’Education nationale</w:t>
      </w:r>
      <w:r w:rsidRPr="009920AB">
        <w:rPr>
          <w:b/>
          <w:u w:val="single"/>
        </w:rPr>
        <w:t xml:space="preserve"> pour g</w:t>
      </w:r>
      <w:r w:rsidR="002E642B">
        <w:rPr>
          <w:b/>
          <w:u w:val="single"/>
        </w:rPr>
        <w:t xml:space="preserve">arantir pleinement la réussite scolaire des enfants confiés, </w:t>
      </w:r>
      <w:r w:rsidRPr="009920AB">
        <w:rPr>
          <w:b/>
          <w:u w:val="single"/>
        </w:rPr>
        <w:t xml:space="preserve">en </w:t>
      </w:r>
      <w:r w:rsidR="00495DD7" w:rsidRPr="009920AB">
        <w:rPr>
          <w:b/>
          <w:u w:val="single"/>
        </w:rPr>
        <w:t>apportant un concours financier à</w:t>
      </w:r>
      <w:r w:rsidRPr="009920AB">
        <w:rPr>
          <w:b/>
          <w:u w:val="single"/>
        </w:rPr>
        <w:t xml:space="preserve"> de</w:t>
      </w:r>
      <w:r w:rsidR="008704AE">
        <w:rPr>
          <w:b/>
          <w:u w:val="single"/>
        </w:rPr>
        <w:t>s</w:t>
      </w:r>
      <w:r w:rsidRPr="009920AB">
        <w:rPr>
          <w:b/>
          <w:u w:val="single"/>
        </w:rPr>
        <w:t xml:space="preserve"> </w:t>
      </w:r>
      <w:r w:rsidR="002E642B">
        <w:rPr>
          <w:b/>
          <w:u w:val="single"/>
        </w:rPr>
        <w:t xml:space="preserve">projets permettant de renforcer leur accompagnement scolaire et leur donner accès à des prestations de soutien scolaire. </w:t>
      </w:r>
    </w:p>
    <w:p w14:paraId="0750AF02" w14:textId="77777777" w:rsidR="002754C7" w:rsidRPr="009920AB" w:rsidRDefault="002754C7" w:rsidP="009E0085">
      <w:pPr>
        <w:jc w:val="both"/>
        <w:rPr>
          <w:b/>
          <w:u w:val="single"/>
        </w:rPr>
      </w:pPr>
    </w:p>
    <w:p w14:paraId="3928295F" w14:textId="459F7261" w:rsidR="001E7A69" w:rsidRPr="00F7402F" w:rsidRDefault="001E7A69" w:rsidP="00495DD7">
      <w:pPr>
        <w:pStyle w:val="Titre2"/>
        <w:numPr>
          <w:ilvl w:val="0"/>
          <w:numId w:val="2"/>
        </w:numPr>
        <w:rPr>
          <w:color w:val="00B0F0"/>
        </w:rPr>
      </w:pPr>
      <w:r w:rsidRPr="00F7402F">
        <w:rPr>
          <w:color w:val="00B0F0"/>
        </w:rPr>
        <w:t>Objec</w:t>
      </w:r>
      <w:r w:rsidR="002754C7" w:rsidRPr="00F7402F">
        <w:rPr>
          <w:color w:val="00B0F0"/>
        </w:rPr>
        <w:t>tifs de l’appel à projets</w:t>
      </w:r>
    </w:p>
    <w:p w14:paraId="54C7F7FA" w14:textId="77777777" w:rsidR="00157D4E" w:rsidRDefault="00157D4E" w:rsidP="0048703B">
      <w:pPr>
        <w:pStyle w:val="Sansinterligne"/>
      </w:pPr>
    </w:p>
    <w:p w14:paraId="1CDF4F80" w14:textId="0B8E4157" w:rsidR="002E642B" w:rsidRDefault="00157D4E" w:rsidP="002E642B">
      <w:pPr>
        <w:jc w:val="both"/>
        <w:rPr>
          <w:b/>
          <w:u w:val="single"/>
        </w:rPr>
      </w:pPr>
      <w:r>
        <w:t xml:space="preserve">Le lancement de cet appel à </w:t>
      </w:r>
      <w:r w:rsidR="00495DD7">
        <w:t xml:space="preserve">projets a pour objectif d’apporter </w:t>
      </w:r>
      <w:r w:rsidR="00495DD7" w:rsidRPr="00C45433">
        <w:rPr>
          <w:b/>
          <w:u w:val="single"/>
        </w:rPr>
        <w:t>un soutien financier</w:t>
      </w:r>
      <w:r w:rsidR="00495DD7">
        <w:t xml:space="preserve"> pour permettre </w:t>
      </w:r>
      <w:r w:rsidR="00495DD7" w:rsidRPr="00C03E15">
        <w:rPr>
          <w:b/>
          <w:u w:val="single"/>
        </w:rPr>
        <w:t>l</w:t>
      </w:r>
      <w:r w:rsidR="002E642B" w:rsidRPr="00C03E15">
        <w:rPr>
          <w:b/>
          <w:u w:val="single"/>
        </w:rPr>
        <w:t>e déploiement ou le</w:t>
      </w:r>
      <w:r w:rsidR="00495DD7" w:rsidRPr="00C03E15">
        <w:rPr>
          <w:b/>
          <w:u w:val="single"/>
        </w:rPr>
        <w:t xml:space="preserve"> renforcement </w:t>
      </w:r>
      <w:r w:rsidR="002E642B" w:rsidRPr="00C03E15">
        <w:rPr>
          <w:b/>
          <w:u w:val="single"/>
        </w:rPr>
        <w:t>d</w:t>
      </w:r>
      <w:r w:rsidR="00C03E15">
        <w:rPr>
          <w:b/>
          <w:u w:val="single"/>
        </w:rPr>
        <w:t>e projets</w:t>
      </w:r>
      <w:r w:rsidR="002E642B" w:rsidRPr="00C03E15">
        <w:rPr>
          <w:b/>
          <w:u w:val="single"/>
        </w:rPr>
        <w:t xml:space="preserve"> d’accompagnement scolaire et des prest</w:t>
      </w:r>
      <w:r w:rsidR="002E642B">
        <w:rPr>
          <w:b/>
          <w:u w:val="single"/>
        </w:rPr>
        <w:t xml:space="preserve">ations de soutien scolaire. </w:t>
      </w:r>
    </w:p>
    <w:p w14:paraId="695F4EC4" w14:textId="7C595BAC" w:rsidR="00C45433" w:rsidRDefault="008704AE" w:rsidP="00972E17">
      <w:pPr>
        <w:jc w:val="both"/>
      </w:pPr>
      <w:r>
        <w:t xml:space="preserve">Il peut </w:t>
      </w:r>
      <w:r w:rsidR="00C03E15">
        <w:t>s’agir</w:t>
      </w:r>
      <w:r>
        <w:t xml:space="preserve"> de </w:t>
      </w:r>
      <w:r w:rsidRPr="008704AE">
        <w:rPr>
          <w:b/>
          <w:u w:val="single"/>
        </w:rPr>
        <w:t>nouveaux projets</w:t>
      </w:r>
      <w:r>
        <w:t xml:space="preserve"> ou de </w:t>
      </w:r>
      <w:r w:rsidR="00C03E15">
        <w:rPr>
          <w:b/>
          <w:u w:val="single"/>
        </w:rPr>
        <w:t>l’extension</w:t>
      </w:r>
      <w:r w:rsidRPr="008704AE">
        <w:rPr>
          <w:b/>
          <w:u w:val="single"/>
        </w:rPr>
        <w:t xml:space="preserve"> de projets existants</w:t>
      </w:r>
      <w:r>
        <w:t xml:space="preserve">. </w:t>
      </w:r>
      <w:r w:rsidR="00C45433" w:rsidRPr="00C45433">
        <w:t>L’appel à projet</w:t>
      </w:r>
      <w:r w:rsidR="00C03E15">
        <w:t>s</w:t>
      </w:r>
      <w:r w:rsidR="00C45433" w:rsidRPr="00C45433">
        <w:t xml:space="preserve"> ne vise</w:t>
      </w:r>
      <w:r w:rsidR="00C03E15">
        <w:t xml:space="preserve"> pas en revanche à se substituer à des financements existants pour des actions déjà mises en œuvre. </w:t>
      </w:r>
      <w:r w:rsidR="008F4C92">
        <w:t>Aussi,</w:t>
      </w:r>
      <w:r w:rsidR="00C03E15">
        <w:t xml:space="preserve"> le dossier de candidature devr</w:t>
      </w:r>
      <w:r w:rsidR="008F4C92">
        <w:t xml:space="preserve">a démontrer </w:t>
      </w:r>
      <w:r w:rsidR="00C03E15">
        <w:t>les apports pour lesquels le financement est demandé</w:t>
      </w:r>
      <w:r w:rsidR="00D80079">
        <w:t xml:space="preserve"> (par exemple, déploiement du projet sur un territoire non couvert jusqu’à présent). </w:t>
      </w:r>
    </w:p>
    <w:p w14:paraId="3CC76A29" w14:textId="77777777" w:rsidR="002754C7" w:rsidRDefault="002754C7" w:rsidP="00972E17">
      <w:pPr>
        <w:jc w:val="both"/>
      </w:pPr>
    </w:p>
    <w:p w14:paraId="4786C146" w14:textId="09CC0B17" w:rsidR="002754C7" w:rsidRPr="00F7402F" w:rsidRDefault="002754C7" w:rsidP="0048692F">
      <w:pPr>
        <w:pStyle w:val="Titre2"/>
        <w:numPr>
          <w:ilvl w:val="0"/>
          <w:numId w:val="2"/>
        </w:numPr>
        <w:spacing w:before="0"/>
        <w:jc w:val="both"/>
        <w:rPr>
          <w:color w:val="00B0F0"/>
        </w:rPr>
      </w:pPr>
      <w:r w:rsidRPr="00F7402F">
        <w:rPr>
          <w:color w:val="00B0F0"/>
        </w:rPr>
        <w:t xml:space="preserve">Publics </w:t>
      </w:r>
      <w:r w:rsidR="00727DA6" w:rsidRPr="00F7402F">
        <w:rPr>
          <w:color w:val="00B0F0"/>
        </w:rPr>
        <w:t>bénéficiaires</w:t>
      </w:r>
    </w:p>
    <w:p w14:paraId="3B63B54B" w14:textId="77777777" w:rsidR="00727DA6" w:rsidRDefault="00727DA6" w:rsidP="00727DA6">
      <w:pPr>
        <w:spacing w:after="0"/>
        <w:jc w:val="both"/>
      </w:pPr>
    </w:p>
    <w:p w14:paraId="243113CB" w14:textId="77777777" w:rsidR="001F793B" w:rsidRDefault="002754C7" w:rsidP="00972E17">
      <w:pPr>
        <w:jc w:val="both"/>
      </w:pPr>
      <w:r>
        <w:t xml:space="preserve">Les projets mis en œuvre doivent </w:t>
      </w:r>
      <w:r w:rsidR="00C03E15">
        <w:t>bénéficier à titre principal à</w:t>
      </w:r>
      <w:r>
        <w:t xml:space="preserve"> </w:t>
      </w:r>
      <w:r w:rsidR="008704AE">
        <w:t xml:space="preserve">des </w:t>
      </w:r>
      <w:r>
        <w:t>mineurs confiés aux services départementaux de l’aide sociale à l’enfance</w:t>
      </w:r>
      <w:r w:rsidR="008704AE">
        <w:t xml:space="preserve"> (sur décisions administratives ou judiciaires)</w:t>
      </w:r>
      <w:r w:rsidR="00C03E15">
        <w:t>, accueillis en établissement</w:t>
      </w:r>
      <w:r w:rsidR="001F793B">
        <w:t>, en lieu de vie et d’accueil</w:t>
      </w:r>
      <w:r w:rsidR="00C03E15">
        <w:t xml:space="preserve"> ou en famille d’accueil. </w:t>
      </w:r>
    </w:p>
    <w:p w14:paraId="6B9B16AF" w14:textId="2C5C7542" w:rsidR="002754C7" w:rsidRDefault="001F793B" w:rsidP="00972E17">
      <w:pPr>
        <w:jc w:val="both"/>
      </w:pPr>
      <w:r>
        <w:lastRenderedPageBreak/>
        <w:t xml:space="preserve">Pourront également être concernés les mineurs en placement direct ou les mineurs confiés à la protection judiciaire de la jeunesse et pris en charge par les établissements de l’ASE, </w:t>
      </w:r>
      <w:r w:rsidR="002754C7">
        <w:t xml:space="preserve">ainsi </w:t>
      </w:r>
      <w:r>
        <w:t xml:space="preserve">que les </w:t>
      </w:r>
      <w:r w:rsidR="002754C7">
        <w:t>jeunes majeurs de moins de vingt-et-un</w:t>
      </w:r>
      <w:r w:rsidR="000D19C3">
        <w:t xml:space="preserve"> ans</w:t>
      </w:r>
      <w:r w:rsidR="002754C7">
        <w:t xml:space="preserve"> bénéficiant d’un accueil provisoire. </w:t>
      </w:r>
    </w:p>
    <w:p w14:paraId="2DC7EFAE" w14:textId="77777777" w:rsidR="00727DA6" w:rsidRDefault="00727DA6" w:rsidP="00972E17">
      <w:pPr>
        <w:jc w:val="both"/>
      </w:pPr>
    </w:p>
    <w:p w14:paraId="6423D762" w14:textId="30BF14F9" w:rsidR="007B3877" w:rsidRPr="00F7402F" w:rsidRDefault="007B3877" w:rsidP="007B3877">
      <w:pPr>
        <w:pStyle w:val="Titre2"/>
        <w:numPr>
          <w:ilvl w:val="0"/>
          <w:numId w:val="2"/>
        </w:numPr>
        <w:rPr>
          <w:color w:val="00B0F0"/>
        </w:rPr>
      </w:pPr>
      <w:r w:rsidRPr="00F7402F">
        <w:rPr>
          <w:color w:val="00B0F0"/>
        </w:rPr>
        <w:t>Typologie de projets concernés par l’appel à projets</w:t>
      </w:r>
    </w:p>
    <w:p w14:paraId="43027EA2" w14:textId="77777777" w:rsidR="008F4C92" w:rsidRDefault="008F4C92" w:rsidP="00727DA6">
      <w:pPr>
        <w:spacing w:after="0"/>
        <w:jc w:val="both"/>
      </w:pPr>
    </w:p>
    <w:p w14:paraId="4BA62532" w14:textId="77B322CA" w:rsidR="008F4C92" w:rsidRDefault="008F4C92" w:rsidP="007B3877">
      <w:pPr>
        <w:jc w:val="both"/>
      </w:pPr>
      <w:r>
        <w:t xml:space="preserve">Les projets concernés devront s’inscrire dans </w:t>
      </w:r>
      <w:r w:rsidR="00D80079">
        <w:t xml:space="preserve">au moins </w:t>
      </w:r>
      <w:r>
        <w:t xml:space="preserve">un des objets suivants :  </w:t>
      </w:r>
    </w:p>
    <w:p w14:paraId="1EBFC10B" w14:textId="55F0D2D1" w:rsidR="007B3877" w:rsidRDefault="007B3877" w:rsidP="007B3877">
      <w:pPr>
        <w:pStyle w:val="Paragraphedeliste"/>
        <w:numPr>
          <w:ilvl w:val="0"/>
          <w:numId w:val="6"/>
        </w:numPr>
        <w:jc w:val="both"/>
      </w:pPr>
      <w:r>
        <w:t>Accompagnement</w:t>
      </w:r>
      <w:r w:rsidR="008F4C92">
        <w:t xml:space="preserve"> dans la scolarité et notamment dans l’aide</w:t>
      </w:r>
      <w:r>
        <w:t xml:space="preserve"> aux devoirs des enfants et des jeunes</w:t>
      </w:r>
      <w:r w:rsidR="005273D8">
        <w:t>,</w:t>
      </w:r>
      <w:r>
        <w:t xml:space="preserve"> </w:t>
      </w:r>
      <w:r w:rsidRPr="00760A01">
        <w:rPr>
          <w:u w:val="single"/>
        </w:rPr>
        <w:t>dans la durée</w:t>
      </w:r>
      <w:r w:rsidR="005273D8" w:rsidRPr="00760A01">
        <w:rPr>
          <w:u w:val="single"/>
        </w:rPr>
        <w:t xml:space="preserve"> et la régularité</w:t>
      </w:r>
      <w:r w:rsidRPr="00760A01">
        <w:t> </w:t>
      </w:r>
      <w:r>
        <w:t xml:space="preserve">; </w:t>
      </w:r>
    </w:p>
    <w:p w14:paraId="3CC42AFF" w14:textId="3688A0AB" w:rsidR="009920AB" w:rsidRDefault="001F793B" w:rsidP="007B3877">
      <w:pPr>
        <w:pStyle w:val="Paragraphedeliste"/>
        <w:numPr>
          <w:ilvl w:val="0"/>
          <w:numId w:val="6"/>
        </w:numPr>
        <w:jc w:val="both"/>
      </w:pPr>
      <w:r>
        <w:t xml:space="preserve">Prévention et </w:t>
      </w:r>
      <w:r w:rsidR="009920AB">
        <w:t xml:space="preserve">accompagnement des périodes de déscolarisation ; </w:t>
      </w:r>
    </w:p>
    <w:p w14:paraId="08894965" w14:textId="1106A1DD" w:rsidR="007B3877" w:rsidRDefault="007B3877" w:rsidP="007B3877">
      <w:pPr>
        <w:pStyle w:val="Paragraphedeliste"/>
        <w:numPr>
          <w:ilvl w:val="0"/>
          <w:numId w:val="6"/>
        </w:numPr>
        <w:jc w:val="both"/>
      </w:pPr>
      <w:r>
        <w:t xml:space="preserve">Aide à l’orientation et à la mise en œuvre d’un projet </w:t>
      </w:r>
      <w:r w:rsidR="001F793B">
        <w:t xml:space="preserve">d’études supérieures ou </w:t>
      </w:r>
      <w:r>
        <w:t>de formation</w:t>
      </w:r>
      <w:r w:rsidR="001F793B">
        <w:t> ;</w:t>
      </w:r>
    </w:p>
    <w:p w14:paraId="2461A79E" w14:textId="439621FF" w:rsidR="007B3877" w:rsidRDefault="001F793B" w:rsidP="007B3877">
      <w:pPr>
        <w:pStyle w:val="Paragraphedeliste"/>
        <w:numPr>
          <w:ilvl w:val="0"/>
          <w:numId w:val="6"/>
        </w:numPr>
        <w:jc w:val="both"/>
      </w:pPr>
      <w:r>
        <w:t>P</w:t>
      </w:r>
      <w:r w:rsidR="007B3877">
        <w:t>artenariat avec des grandes écoles</w:t>
      </w:r>
      <w:r>
        <w:t xml:space="preserve"> (école d’ingénieur, école de commerce, école de service public, institut d’études politiques, …)</w:t>
      </w:r>
      <w:r w:rsidR="007B3877">
        <w:t xml:space="preserve"> pour </w:t>
      </w:r>
      <w:r>
        <w:t xml:space="preserve">favoriser l’accès des jeunes confiés à ces formations d’excellence (y compris préparation des concours, levé des freins périphériques et accompagnement dans la scolarité) ; </w:t>
      </w:r>
    </w:p>
    <w:p w14:paraId="52B516D4" w14:textId="3BB64FAA" w:rsidR="001F793B" w:rsidRDefault="001F793B" w:rsidP="007B3877">
      <w:pPr>
        <w:pStyle w:val="Paragraphedeliste"/>
        <w:numPr>
          <w:ilvl w:val="0"/>
          <w:numId w:val="6"/>
        </w:numPr>
        <w:jc w:val="both"/>
      </w:pPr>
      <w:r>
        <w:t>Formation et appui aux professionnels de l’aide sociale à l’enfance, des établissements et des services</w:t>
      </w:r>
      <w:r w:rsidR="0094745E">
        <w:t xml:space="preserve"> sur l’accompagnement à la scolarité des enfants confiés.</w:t>
      </w:r>
    </w:p>
    <w:p w14:paraId="4A2DF5D3" w14:textId="7EC7C138" w:rsidR="007B3877" w:rsidRDefault="008F4C92" w:rsidP="00972E17">
      <w:pPr>
        <w:jc w:val="both"/>
      </w:pPr>
      <w:r>
        <w:t xml:space="preserve">Les projets peuvent être portés au niveau national ou local. </w:t>
      </w:r>
    </w:p>
    <w:p w14:paraId="3EC86537" w14:textId="06361DA3" w:rsidR="008F4C92" w:rsidRDefault="008F4C92" w:rsidP="00972E17">
      <w:pPr>
        <w:jc w:val="both"/>
      </w:pPr>
    </w:p>
    <w:p w14:paraId="651B9CF3" w14:textId="128CFFC3" w:rsidR="00760A01" w:rsidRPr="00F7402F" w:rsidRDefault="00760A01" w:rsidP="00760A01">
      <w:pPr>
        <w:pStyle w:val="Titre2"/>
        <w:numPr>
          <w:ilvl w:val="0"/>
          <w:numId w:val="2"/>
        </w:numPr>
        <w:rPr>
          <w:color w:val="00B0F0"/>
        </w:rPr>
      </w:pPr>
      <w:r w:rsidRPr="00F7402F">
        <w:rPr>
          <w:color w:val="00B0F0"/>
        </w:rPr>
        <w:t>Financements</w:t>
      </w:r>
    </w:p>
    <w:p w14:paraId="463C8F17" w14:textId="7A68D6BB" w:rsidR="00760A01" w:rsidRDefault="00760A01" w:rsidP="00760A01">
      <w:pPr>
        <w:pStyle w:val="Titre2"/>
        <w:rPr>
          <w:color w:val="F79646" w:themeColor="accent6"/>
        </w:rPr>
      </w:pPr>
    </w:p>
    <w:p w14:paraId="0C5C4A51" w14:textId="65B01C54" w:rsidR="00760A01" w:rsidRPr="00760A01" w:rsidRDefault="00760A01" w:rsidP="0094745E">
      <w:pPr>
        <w:jc w:val="both"/>
        <w:rPr>
          <w:b/>
          <w:u w:val="single"/>
        </w:rPr>
      </w:pPr>
      <w:r w:rsidRPr="00760A01">
        <w:rPr>
          <w:b/>
          <w:u w:val="single"/>
        </w:rPr>
        <w:t>L’appel à projet</w:t>
      </w:r>
      <w:r w:rsidR="0094745E">
        <w:rPr>
          <w:b/>
          <w:u w:val="single"/>
        </w:rPr>
        <w:t>s</w:t>
      </w:r>
      <w:r w:rsidRPr="00760A01">
        <w:rPr>
          <w:b/>
          <w:u w:val="single"/>
        </w:rPr>
        <w:t xml:space="preserve"> vise à apporter un soutien financier aux projets retenus,</w:t>
      </w:r>
      <w:r w:rsidR="0094745E">
        <w:rPr>
          <w:b/>
          <w:u w:val="single"/>
        </w:rPr>
        <w:t xml:space="preserve"> sous la forme d’une subvention </w:t>
      </w:r>
      <w:r w:rsidRPr="00760A01">
        <w:rPr>
          <w:b/>
          <w:u w:val="single"/>
        </w:rPr>
        <w:t xml:space="preserve">non reconductible. </w:t>
      </w:r>
    </w:p>
    <w:p w14:paraId="2302BBE5" w14:textId="75F7028D" w:rsidR="00760A01" w:rsidRDefault="00760A01" w:rsidP="0094745E">
      <w:pPr>
        <w:jc w:val="both"/>
      </w:pPr>
      <w:r>
        <w:t>Les projets ne pourront</w:t>
      </w:r>
      <w:r w:rsidR="0094745E">
        <w:t xml:space="preserve"> pas être exclusivement financés</w:t>
      </w:r>
      <w:r>
        <w:t xml:space="preserve"> par le ministère</w:t>
      </w:r>
      <w:r w:rsidR="00895B75">
        <w:t xml:space="preserve"> des solidarités et de la santé</w:t>
      </w:r>
      <w:r>
        <w:t xml:space="preserve">. Le budget soumis dans le dossier de candidature devra faire apparaitre </w:t>
      </w:r>
      <w:r w:rsidR="0094745E">
        <w:t>des co-financements.</w:t>
      </w:r>
      <w:r>
        <w:t xml:space="preserve"> </w:t>
      </w:r>
    </w:p>
    <w:p w14:paraId="2029D01D" w14:textId="77777777" w:rsidR="00895B75" w:rsidRDefault="00895B75" w:rsidP="0094745E">
      <w:pPr>
        <w:jc w:val="both"/>
      </w:pPr>
    </w:p>
    <w:p w14:paraId="6D737C73" w14:textId="2B8EE455" w:rsidR="001E7A69" w:rsidRPr="00F7402F" w:rsidRDefault="00727DA6" w:rsidP="00972E17">
      <w:pPr>
        <w:pStyle w:val="Titre2"/>
        <w:numPr>
          <w:ilvl w:val="0"/>
          <w:numId w:val="2"/>
        </w:numPr>
        <w:rPr>
          <w:color w:val="00B0F0"/>
        </w:rPr>
      </w:pPr>
      <w:r w:rsidRPr="00F7402F">
        <w:rPr>
          <w:color w:val="00B0F0"/>
        </w:rPr>
        <w:t>Critères de qualité à présenter</w:t>
      </w:r>
    </w:p>
    <w:p w14:paraId="027A3A7F" w14:textId="4A0DEF7F" w:rsidR="001E7A69" w:rsidRDefault="001E7A69" w:rsidP="0048703B">
      <w:pPr>
        <w:pStyle w:val="Sansinterligne"/>
      </w:pPr>
    </w:p>
    <w:p w14:paraId="3E0F1D0B" w14:textId="25068C7E" w:rsidR="00727DA6" w:rsidRPr="00727DA6" w:rsidRDefault="00727DA6" w:rsidP="00727DA6">
      <w:pPr>
        <w:jc w:val="both"/>
        <w:rPr>
          <w:i/>
          <w:color w:val="31849B" w:themeColor="accent5" w:themeShade="BF"/>
        </w:rPr>
      </w:pPr>
      <w:r w:rsidRPr="00727DA6">
        <w:rPr>
          <w:i/>
          <w:color w:val="31849B" w:themeColor="accent5" w:themeShade="BF"/>
        </w:rPr>
        <w:t xml:space="preserve">Les ressources humaines </w:t>
      </w:r>
      <w:r w:rsidR="0094745E">
        <w:rPr>
          <w:i/>
          <w:color w:val="31849B" w:themeColor="accent5" w:themeShade="BF"/>
        </w:rPr>
        <w:t>mobilisées</w:t>
      </w:r>
    </w:p>
    <w:p w14:paraId="184913FE" w14:textId="2953AB9D" w:rsidR="008F4C92" w:rsidRDefault="00727DA6" w:rsidP="00D80079">
      <w:pPr>
        <w:pStyle w:val="Sansinterligne"/>
        <w:jc w:val="both"/>
      </w:pPr>
      <w:r>
        <w:t xml:space="preserve">Le </w:t>
      </w:r>
      <w:r w:rsidR="0094745E">
        <w:t>dossier de candidature</w:t>
      </w:r>
      <w:r w:rsidR="00150820">
        <w:t xml:space="preserve"> devra</w:t>
      </w:r>
      <w:r w:rsidR="0094745E">
        <w:t xml:space="preserve"> préciser le profil, le statut (salarié ou bénévole) et les modalités de recrutement d</w:t>
      </w:r>
      <w:r>
        <w:t xml:space="preserve">es ressources humaines </w:t>
      </w:r>
      <w:r w:rsidR="0094745E">
        <w:t>mobilisées dans le cadre du projet, notamment s’agissant des personnes amenées à</w:t>
      </w:r>
      <w:r w:rsidR="001E7191">
        <w:t xml:space="preserve"> intervenir auprès des enfants et des jeunes.</w:t>
      </w:r>
      <w:r w:rsidR="00136693">
        <w:t xml:space="preserve"> </w:t>
      </w:r>
      <w:r w:rsidR="00150820">
        <w:t xml:space="preserve">Il devra </w:t>
      </w:r>
      <w:r w:rsidR="00136693">
        <w:t xml:space="preserve">notamment </w:t>
      </w:r>
      <w:r w:rsidR="00150820">
        <w:t xml:space="preserve">indiquer </w:t>
      </w:r>
      <w:r w:rsidR="008F4C92" w:rsidRPr="00D80079">
        <w:t xml:space="preserve">les modalités mises en </w:t>
      </w:r>
      <w:r w:rsidR="00D80079" w:rsidRPr="00D80079">
        <w:t xml:space="preserve">œuvre pour </w:t>
      </w:r>
      <w:r w:rsidR="00150820">
        <w:t xml:space="preserve">s’assurer de </w:t>
      </w:r>
      <w:r w:rsidR="00136693">
        <w:t xml:space="preserve">leur </w:t>
      </w:r>
      <w:r w:rsidR="00150820">
        <w:t>moralité</w:t>
      </w:r>
      <w:r w:rsidR="00D80079" w:rsidRPr="00D80079">
        <w:t xml:space="preserve">. </w:t>
      </w:r>
      <w:r w:rsidR="00D80079">
        <w:t xml:space="preserve">Le bulletin n°3 du casier judiciaire </w:t>
      </w:r>
      <w:r>
        <w:t>devra dans tous les cas</w:t>
      </w:r>
      <w:r w:rsidR="00D80079">
        <w:t xml:space="preserve"> être </w:t>
      </w:r>
      <w:r w:rsidR="00150820">
        <w:t>exigé.</w:t>
      </w:r>
      <w:r w:rsidR="00D80079">
        <w:t xml:space="preserve"> </w:t>
      </w:r>
    </w:p>
    <w:p w14:paraId="11F8182C" w14:textId="75C41C42" w:rsidR="00D80079" w:rsidRDefault="00D80079" w:rsidP="00D80079">
      <w:pPr>
        <w:pStyle w:val="Sansinterligne"/>
        <w:jc w:val="both"/>
      </w:pPr>
    </w:p>
    <w:p w14:paraId="7F7D0CBB" w14:textId="2CB0409E" w:rsidR="00D80079" w:rsidRDefault="00D80079" w:rsidP="00D80079">
      <w:pPr>
        <w:pStyle w:val="Sansinterligne"/>
        <w:jc w:val="both"/>
      </w:pPr>
      <w:r>
        <w:t>Le</w:t>
      </w:r>
      <w:r w:rsidR="00136693">
        <w:t xml:space="preserve"> dossier de candidature devra en outre</w:t>
      </w:r>
      <w:r>
        <w:t xml:space="preserve"> </w:t>
      </w:r>
      <w:r w:rsidR="00760A01">
        <w:t>détailler</w:t>
      </w:r>
      <w:r w:rsidR="00727DA6">
        <w:t xml:space="preserve"> </w:t>
      </w:r>
      <w:r w:rsidRPr="005273D8">
        <w:rPr>
          <w:b/>
          <w:u w:val="single"/>
        </w:rPr>
        <w:t>les modalités d’accompagnement des intervenants auprès des enfants compte-tenu de leurs vulnérabilités</w:t>
      </w:r>
      <w:r>
        <w:t xml:space="preserve"> (</w:t>
      </w:r>
      <w:r w:rsidR="00136693">
        <w:t>prise en compte des</w:t>
      </w:r>
      <w:r>
        <w:t xml:space="preserve"> spécificités de la protection de l’enfance, s</w:t>
      </w:r>
      <w:r w:rsidR="00150820">
        <w:t>upervision, positionnement</w:t>
      </w:r>
      <w:r>
        <w:t xml:space="preserve">, …). </w:t>
      </w:r>
    </w:p>
    <w:p w14:paraId="4F959B6D" w14:textId="397874C6" w:rsidR="00760A01" w:rsidRDefault="00760A01" w:rsidP="00D80079">
      <w:pPr>
        <w:pStyle w:val="Sansinterligne"/>
        <w:jc w:val="both"/>
      </w:pPr>
    </w:p>
    <w:p w14:paraId="1F069B15" w14:textId="344C6148" w:rsidR="00727DA6" w:rsidRDefault="00727DA6" w:rsidP="00727DA6">
      <w:pPr>
        <w:jc w:val="both"/>
        <w:rPr>
          <w:i/>
          <w:color w:val="31849B" w:themeColor="accent5" w:themeShade="BF"/>
        </w:rPr>
      </w:pPr>
      <w:r>
        <w:rPr>
          <w:i/>
          <w:color w:val="31849B" w:themeColor="accent5" w:themeShade="BF"/>
        </w:rPr>
        <w:lastRenderedPageBreak/>
        <w:t>Les partenariats</w:t>
      </w:r>
    </w:p>
    <w:p w14:paraId="3030B13C" w14:textId="311F4D43" w:rsidR="00727DA6" w:rsidRDefault="00150820" w:rsidP="00727DA6">
      <w:pPr>
        <w:pStyle w:val="Sansinterligne"/>
        <w:jc w:val="both"/>
      </w:pPr>
      <w:r>
        <w:t>Le dossier de candidature présentera</w:t>
      </w:r>
      <w:r w:rsidR="00727DA6" w:rsidRPr="00727DA6">
        <w:t xml:space="preserve"> les partenariats noués pour la conception et</w:t>
      </w:r>
      <w:r>
        <w:t xml:space="preserve"> la mise en œuvre du projet. Il fera notamment</w:t>
      </w:r>
      <w:r w:rsidR="00727DA6" w:rsidRPr="00727DA6">
        <w:t xml:space="preserve"> part des </w:t>
      </w:r>
      <w:r w:rsidR="00727DA6">
        <w:t>modalités de travail</w:t>
      </w:r>
      <w:r w:rsidR="00727DA6" w:rsidRPr="00727DA6">
        <w:t xml:space="preserve"> avec le service départemental de l’ASE, l’inspection académique, ainsi que les lieux </w:t>
      </w:r>
      <w:r>
        <w:t xml:space="preserve">d’accueil des enfants et les professionnels qui les accompagnent au </w:t>
      </w:r>
      <w:r w:rsidRPr="00177B37">
        <w:t>quotidien.</w:t>
      </w:r>
      <w:r w:rsidR="00CC42EA" w:rsidRPr="00177B37">
        <w:t xml:space="preserve"> </w:t>
      </w:r>
      <w:r w:rsidR="00A62EC3" w:rsidRPr="00177B37">
        <w:t>Il comportera</w:t>
      </w:r>
      <w:r w:rsidR="000D19C3" w:rsidRPr="00177B37">
        <w:t xml:space="preserve"> obligatoirement</w:t>
      </w:r>
      <w:r w:rsidR="00A62EC3" w:rsidRPr="00177B37">
        <w:t xml:space="preserve">, à l’appui de la candidature, un accord de principe écrit du conseil départemental et/ou des établissements et services auxquels sont confiés les enfants et les jeunes </w:t>
      </w:r>
      <w:r w:rsidR="007016A7" w:rsidRPr="00177B37">
        <w:t>bénéficiaires</w:t>
      </w:r>
      <w:r w:rsidR="00A62EC3" w:rsidRPr="00177B37">
        <w:t xml:space="preserve"> du projet.</w:t>
      </w:r>
      <w:r w:rsidR="00B5691D" w:rsidRPr="00177B37">
        <w:t xml:space="preserve"> </w:t>
      </w:r>
    </w:p>
    <w:p w14:paraId="2D42D8B8" w14:textId="77777777" w:rsidR="00727DA6" w:rsidRPr="00727DA6" w:rsidRDefault="00727DA6" w:rsidP="00727DA6">
      <w:pPr>
        <w:pStyle w:val="Sansinterligne"/>
        <w:jc w:val="both"/>
      </w:pPr>
    </w:p>
    <w:p w14:paraId="241E12D1" w14:textId="5B784660" w:rsidR="00727DA6" w:rsidRPr="00727DA6" w:rsidRDefault="00727DA6" w:rsidP="00727DA6">
      <w:pPr>
        <w:jc w:val="both"/>
        <w:rPr>
          <w:i/>
          <w:color w:val="31849B" w:themeColor="accent5" w:themeShade="BF"/>
        </w:rPr>
      </w:pPr>
      <w:r w:rsidRPr="00727DA6">
        <w:rPr>
          <w:i/>
          <w:color w:val="31849B" w:themeColor="accent5" w:themeShade="BF"/>
        </w:rPr>
        <w:t>L’évaluation des projets</w:t>
      </w:r>
    </w:p>
    <w:p w14:paraId="71DC3210" w14:textId="6CC49F4C" w:rsidR="002754C7" w:rsidRDefault="002754C7" w:rsidP="00D80079">
      <w:pPr>
        <w:pStyle w:val="Sansinterligne"/>
        <w:jc w:val="both"/>
      </w:pPr>
      <w:r>
        <w:t xml:space="preserve">Les projets devront </w:t>
      </w:r>
      <w:r w:rsidR="00727DA6">
        <w:t xml:space="preserve">préciser les modalités d’évaluation des actions mises en œuvre et </w:t>
      </w:r>
      <w:r w:rsidR="008704AE">
        <w:t xml:space="preserve">l’échéancier prévu pour cela. </w:t>
      </w:r>
      <w:r w:rsidR="00727DA6">
        <w:t xml:space="preserve"> </w:t>
      </w:r>
    </w:p>
    <w:p w14:paraId="4E201BDF" w14:textId="40DA1E31" w:rsidR="008704AE" w:rsidRDefault="008704AE" w:rsidP="00D80079">
      <w:pPr>
        <w:pStyle w:val="Sansinterligne"/>
        <w:jc w:val="both"/>
      </w:pPr>
    </w:p>
    <w:p w14:paraId="0AC51206" w14:textId="16CD9AEC" w:rsidR="008704AE" w:rsidRPr="008704AE" w:rsidRDefault="008704AE" w:rsidP="00D80079">
      <w:pPr>
        <w:pStyle w:val="Sansinterligne"/>
        <w:jc w:val="both"/>
        <w:rPr>
          <w:b/>
          <w:u w:val="single"/>
        </w:rPr>
      </w:pPr>
      <w:r w:rsidRPr="008704AE">
        <w:rPr>
          <w:b/>
          <w:u w:val="single"/>
        </w:rPr>
        <w:t xml:space="preserve">A noter que pour les projets retenus, le ministère devra être destinataire d’un rapport d’évaluation quantitatif et qualitatif au </w:t>
      </w:r>
      <w:r w:rsidR="00B5691D" w:rsidRPr="00177B37">
        <w:rPr>
          <w:b/>
          <w:u w:val="single"/>
        </w:rPr>
        <w:t>plus tard fin juin 2022</w:t>
      </w:r>
      <w:r w:rsidRPr="00177B37">
        <w:rPr>
          <w:b/>
          <w:u w:val="single"/>
        </w:rPr>
        <w:t>.</w:t>
      </w:r>
      <w:r w:rsidRPr="008704AE">
        <w:rPr>
          <w:b/>
          <w:u w:val="single"/>
        </w:rPr>
        <w:t xml:space="preserve"> </w:t>
      </w:r>
    </w:p>
    <w:p w14:paraId="3B1524E6" w14:textId="35355549" w:rsidR="00D80079" w:rsidRDefault="00D80079" w:rsidP="00D80079">
      <w:pPr>
        <w:pStyle w:val="Sansinterligne"/>
        <w:jc w:val="both"/>
      </w:pPr>
    </w:p>
    <w:p w14:paraId="7FDC1838" w14:textId="77777777" w:rsidR="009920AB" w:rsidRDefault="009920AB" w:rsidP="0048703B">
      <w:pPr>
        <w:pStyle w:val="Sansinterligne"/>
      </w:pPr>
    </w:p>
    <w:p w14:paraId="1924118E" w14:textId="3B01012F" w:rsidR="001E7A69" w:rsidRPr="00F7402F" w:rsidRDefault="001E7A69" w:rsidP="000640D6">
      <w:pPr>
        <w:pStyle w:val="Titre2"/>
        <w:numPr>
          <w:ilvl w:val="0"/>
          <w:numId w:val="2"/>
        </w:numPr>
        <w:rPr>
          <w:color w:val="00B0F0"/>
        </w:rPr>
      </w:pPr>
      <w:r w:rsidRPr="00F7402F">
        <w:rPr>
          <w:color w:val="00B0F0"/>
        </w:rPr>
        <w:t>Porteurs de projet</w:t>
      </w:r>
    </w:p>
    <w:p w14:paraId="17C2255E" w14:textId="77777777" w:rsidR="00423BAF" w:rsidRDefault="00423BAF" w:rsidP="00423BAF">
      <w:pPr>
        <w:pStyle w:val="Sansinterligne"/>
      </w:pPr>
    </w:p>
    <w:p w14:paraId="0E204425" w14:textId="21DA9100" w:rsidR="001E7A69" w:rsidRDefault="00423BAF" w:rsidP="00972E17">
      <w:pPr>
        <w:jc w:val="both"/>
      </w:pPr>
      <w:r>
        <w:t xml:space="preserve">Cet appel à </w:t>
      </w:r>
      <w:r w:rsidR="00150820">
        <w:t>projets</w:t>
      </w:r>
      <w:r>
        <w:t xml:space="preserve"> s’adresse aux personnes morales à but non lucratif : associations, fondations, établissements publics…</w:t>
      </w:r>
    </w:p>
    <w:p w14:paraId="5928E157" w14:textId="77777777" w:rsidR="008704AE" w:rsidRDefault="008704AE" w:rsidP="00972E17">
      <w:pPr>
        <w:jc w:val="both"/>
      </w:pPr>
    </w:p>
    <w:p w14:paraId="06E2ED60" w14:textId="00F46D82" w:rsidR="001E7A69" w:rsidRPr="00F7402F" w:rsidRDefault="00462AC4" w:rsidP="000640D6">
      <w:pPr>
        <w:pStyle w:val="Titre2"/>
        <w:numPr>
          <w:ilvl w:val="0"/>
          <w:numId w:val="2"/>
        </w:numPr>
        <w:rPr>
          <w:color w:val="00B0F0"/>
        </w:rPr>
      </w:pPr>
      <w:r w:rsidRPr="00F7402F">
        <w:rPr>
          <w:color w:val="00B0F0"/>
        </w:rPr>
        <w:t>S</w:t>
      </w:r>
      <w:r w:rsidR="002C0BFC" w:rsidRPr="00F7402F">
        <w:rPr>
          <w:color w:val="00B0F0"/>
        </w:rPr>
        <w:t>élection</w:t>
      </w:r>
      <w:r w:rsidRPr="00F7402F">
        <w:rPr>
          <w:color w:val="00B0F0"/>
        </w:rPr>
        <w:t xml:space="preserve"> des projets</w:t>
      </w:r>
    </w:p>
    <w:p w14:paraId="4AB93C9D" w14:textId="77777777" w:rsidR="001E7A69" w:rsidRDefault="001E7A69" w:rsidP="00423BAF">
      <w:pPr>
        <w:pStyle w:val="Sansinterligne"/>
      </w:pPr>
    </w:p>
    <w:p w14:paraId="3F572A7A" w14:textId="76A2A345" w:rsidR="0038334B" w:rsidRDefault="0038334B" w:rsidP="006A5D38">
      <w:pPr>
        <w:jc w:val="both"/>
      </w:pPr>
      <w:r>
        <w:t>Une pré-sélection</w:t>
      </w:r>
      <w:r w:rsidR="0041541E">
        <w:t xml:space="preserve"> des candidatures</w:t>
      </w:r>
      <w:r>
        <w:t xml:space="preserve"> sera réalisée par la Direction générale de la cohésion </w:t>
      </w:r>
      <w:r w:rsidR="005273D8">
        <w:t>sociale.</w:t>
      </w:r>
    </w:p>
    <w:p w14:paraId="0E056330" w14:textId="3ACA95C1" w:rsidR="0038334B" w:rsidRDefault="00A04A3B" w:rsidP="006A5D38">
      <w:pPr>
        <w:jc w:val="both"/>
      </w:pPr>
      <w:r>
        <w:t>Les candidatures pré</w:t>
      </w:r>
      <w:r w:rsidR="0038334B">
        <w:t xml:space="preserve">sélectionnées seront soumises à l’examen d’un comité de </w:t>
      </w:r>
      <w:r w:rsidR="00C45433">
        <w:t xml:space="preserve">sélection </w:t>
      </w:r>
      <w:r w:rsidR="0038334B">
        <w:t>regroupant </w:t>
      </w:r>
      <w:r w:rsidR="008B596E">
        <w:t xml:space="preserve">(dans la mesure du possible) </w:t>
      </w:r>
      <w:r w:rsidR="0038334B">
        <w:t xml:space="preserve">: </w:t>
      </w:r>
    </w:p>
    <w:p w14:paraId="2CCCC2E8" w14:textId="3C733B8D" w:rsidR="005273D8" w:rsidRDefault="00782C55" w:rsidP="006A5D38">
      <w:pPr>
        <w:pStyle w:val="Paragraphedeliste"/>
        <w:numPr>
          <w:ilvl w:val="0"/>
          <w:numId w:val="9"/>
        </w:numPr>
        <w:jc w:val="both"/>
      </w:pPr>
      <w:r>
        <w:t xml:space="preserve">Un </w:t>
      </w:r>
      <w:r w:rsidR="00462AC4">
        <w:t xml:space="preserve">ou des </w:t>
      </w:r>
      <w:r>
        <w:t>représentant</w:t>
      </w:r>
      <w:r w:rsidR="00462AC4">
        <w:t>s</w:t>
      </w:r>
      <w:r>
        <w:t xml:space="preserve"> de </w:t>
      </w:r>
      <w:r w:rsidR="005273D8">
        <w:t xml:space="preserve">la </w:t>
      </w:r>
      <w:r>
        <w:t>Direction générale de la cohésion sociale</w:t>
      </w:r>
      <w:r w:rsidR="005273D8">
        <w:t> ;</w:t>
      </w:r>
    </w:p>
    <w:p w14:paraId="701BAE69" w14:textId="7C66951C" w:rsidR="00C45433" w:rsidRDefault="00C45433" w:rsidP="006A5D38">
      <w:pPr>
        <w:pStyle w:val="Paragraphedeliste"/>
        <w:numPr>
          <w:ilvl w:val="0"/>
          <w:numId w:val="9"/>
        </w:numPr>
        <w:jc w:val="both"/>
      </w:pPr>
      <w:r>
        <w:t xml:space="preserve">Un ou des représentants de gestionnaire d’établissements et de </w:t>
      </w:r>
      <w:r w:rsidR="005273D8">
        <w:t>services de</w:t>
      </w:r>
      <w:r>
        <w:t xml:space="preserve"> protection de l’enfance ; </w:t>
      </w:r>
    </w:p>
    <w:p w14:paraId="36FA7908" w14:textId="5F07BBA8" w:rsidR="00C45433" w:rsidRDefault="00C45433" w:rsidP="006A5D38">
      <w:pPr>
        <w:pStyle w:val="Paragraphedeliste"/>
        <w:numPr>
          <w:ilvl w:val="0"/>
          <w:numId w:val="9"/>
        </w:numPr>
        <w:jc w:val="both"/>
      </w:pPr>
      <w:r>
        <w:t>Un ou des représentants des</w:t>
      </w:r>
      <w:r w:rsidR="00462AC4">
        <w:t xml:space="preserve"> associations d’</w:t>
      </w:r>
      <w:r>
        <w:t>anciens enfants confiés à l’aide sociale à l’</w:t>
      </w:r>
      <w:r w:rsidR="005273D8">
        <w:t>enfance ;</w:t>
      </w:r>
    </w:p>
    <w:p w14:paraId="5011FA3D" w14:textId="5583D9C2" w:rsidR="00CC42EA" w:rsidRDefault="005273D8" w:rsidP="007016A7">
      <w:pPr>
        <w:pStyle w:val="Paragraphedeliste"/>
        <w:numPr>
          <w:ilvl w:val="0"/>
          <w:numId w:val="9"/>
        </w:numPr>
        <w:jc w:val="both"/>
      </w:pPr>
      <w:r>
        <w:t xml:space="preserve">Un </w:t>
      </w:r>
      <w:r w:rsidR="00462AC4">
        <w:t>ou des représentants de services départementaux</w:t>
      </w:r>
      <w:r>
        <w:t xml:space="preserve"> de l’ASE.</w:t>
      </w:r>
      <w:r w:rsidR="00CC42EA">
        <w:t xml:space="preserve"> </w:t>
      </w:r>
    </w:p>
    <w:p w14:paraId="4554C66C" w14:textId="0E5174D1" w:rsidR="00462AC4" w:rsidRDefault="00462AC4" w:rsidP="006A5D38">
      <w:pPr>
        <w:jc w:val="both"/>
      </w:pPr>
      <w:r>
        <w:t xml:space="preserve">Les projets seront sélectionnés sur la base des critères suivants : </w:t>
      </w:r>
    </w:p>
    <w:p w14:paraId="65FB2774" w14:textId="6BE8F275" w:rsidR="00462AC4" w:rsidRDefault="00462AC4" w:rsidP="006A5D38">
      <w:pPr>
        <w:pStyle w:val="Paragraphedeliste"/>
        <w:numPr>
          <w:ilvl w:val="0"/>
          <w:numId w:val="10"/>
        </w:numPr>
        <w:jc w:val="both"/>
      </w:pPr>
      <w:r>
        <w:t xml:space="preserve">Pertinence du projet au regard du cahier des charges ; </w:t>
      </w:r>
    </w:p>
    <w:p w14:paraId="62AA7481" w14:textId="24077C67" w:rsidR="00462AC4" w:rsidRDefault="00462AC4" w:rsidP="006A5D38">
      <w:pPr>
        <w:pStyle w:val="Paragraphedeliste"/>
        <w:numPr>
          <w:ilvl w:val="0"/>
          <w:numId w:val="10"/>
        </w:numPr>
        <w:jc w:val="both"/>
      </w:pPr>
      <w:r>
        <w:t>Qualité du montage du projet ;</w:t>
      </w:r>
    </w:p>
    <w:p w14:paraId="2A07284B" w14:textId="13EA482F" w:rsidR="002B1133" w:rsidRDefault="002B1133" w:rsidP="006A5D38">
      <w:pPr>
        <w:pStyle w:val="Paragraphedeliste"/>
        <w:numPr>
          <w:ilvl w:val="0"/>
          <w:numId w:val="10"/>
        </w:numPr>
        <w:jc w:val="both"/>
      </w:pPr>
      <w:r>
        <w:t xml:space="preserve">Qualité des partenariats mis en œuvre avec les acteurs du territoire ; </w:t>
      </w:r>
    </w:p>
    <w:p w14:paraId="1DDFE474" w14:textId="430F531D" w:rsidR="002B1133" w:rsidRDefault="002B1133" w:rsidP="006A5D38">
      <w:pPr>
        <w:pStyle w:val="Paragraphedeliste"/>
        <w:numPr>
          <w:ilvl w:val="0"/>
          <w:numId w:val="10"/>
        </w:numPr>
        <w:jc w:val="both"/>
      </w:pPr>
      <w:r>
        <w:t xml:space="preserve">Viabilité du projet sur le long terme. </w:t>
      </w:r>
    </w:p>
    <w:p w14:paraId="759232A9" w14:textId="685DC1AA" w:rsidR="000640D6" w:rsidRDefault="00E8318C" w:rsidP="006A5D38">
      <w:pPr>
        <w:pStyle w:val="Sansinterligne"/>
        <w:jc w:val="both"/>
      </w:pPr>
      <w:r>
        <w:t>La liste des projets lauréats sera publiée sur le site du ministère des solidarités et de la santé. Les porteurs de projets seront parallèlement informés de la sélection ou non-sélection de leur projet.</w:t>
      </w:r>
    </w:p>
    <w:p w14:paraId="1FA3EA1D" w14:textId="26A3D33E" w:rsidR="00E8318C" w:rsidRDefault="00E8318C" w:rsidP="006A5D38">
      <w:pPr>
        <w:pStyle w:val="Sansinterligne"/>
        <w:jc w:val="both"/>
      </w:pPr>
    </w:p>
    <w:p w14:paraId="75EBB27C" w14:textId="5F0E7013" w:rsidR="00E8318C" w:rsidRPr="006A5D38" w:rsidRDefault="00E8318C" w:rsidP="006A5D38">
      <w:pPr>
        <w:pStyle w:val="Sansinterligne"/>
        <w:jc w:val="both"/>
        <w:rPr>
          <w:b/>
        </w:rPr>
      </w:pPr>
      <w:r w:rsidRPr="00177B37">
        <w:rPr>
          <w:b/>
        </w:rPr>
        <w:lastRenderedPageBreak/>
        <w:t xml:space="preserve">Nota bene : les porteurs de projets s’engagent à réaliser le projet pour lequel il demande la subvention. A ce titre, </w:t>
      </w:r>
      <w:r w:rsidR="007252D1">
        <w:rPr>
          <w:b/>
        </w:rPr>
        <w:t xml:space="preserve">les porteurs de projets sont </w:t>
      </w:r>
      <w:r w:rsidR="00177B37">
        <w:rPr>
          <w:b/>
        </w:rPr>
        <w:t>susceptibles</w:t>
      </w:r>
      <w:r w:rsidR="007252D1">
        <w:rPr>
          <w:b/>
        </w:rPr>
        <w:t xml:space="preserve"> de faire l’objet d’une demande de point d’étape</w:t>
      </w:r>
      <w:r w:rsidR="00350F45">
        <w:rPr>
          <w:b/>
        </w:rPr>
        <w:t xml:space="preserve"> intermédiaire sur l’avancée du projet</w:t>
      </w:r>
      <w:r w:rsidR="007252D1">
        <w:rPr>
          <w:b/>
        </w:rPr>
        <w:t xml:space="preserve"> </w:t>
      </w:r>
      <w:r w:rsidR="00664DFA">
        <w:rPr>
          <w:b/>
        </w:rPr>
        <w:t>au cours de l’année 2021</w:t>
      </w:r>
      <w:r w:rsidR="006A5D38" w:rsidRPr="00177B37">
        <w:rPr>
          <w:b/>
        </w:rPr>
        <w:t>.</w:t>
      </w:r>
      <w:r w:rsidR="007252D1">
        <w:rPr>
          <w:b/>
        </w:rPr>
        <w:t xml:space="preserve"> </w:t>
      </w:r>
    </w:p>
    <w:p w14:paraId="6980993D" w14:textId="0583A463" w:rsidR="00E8318C" w:rsidRDefault="00E8318C" w:rsidP="00423BAF">
      <w:pPr>
        <w:pStyle w:val="Sansinterligne"/>
      </w:pPr>
    </w:p>
    <w:p w14:paraId="26461AAC" w14:textId="77777777" w:rsidR="00E8318C" w:rsidRDefault="00E8318C" w:rsidP="00423BAF">
      <w:pPr>
        <w:pStyle w:val="Sansinterligne"/>
      </w:pPr>
    </w:p>
    <w:p w14:paraId="04AE8552" w14:textId="52DA248E" w:rsidR="000640D6" w:rsidRPr="00F7402F" w:rsidRDefault="000640D6" w:rsidP="002C0BFC">
      <w:pPr>
        <w:pStyle w:val="Titre2"/>
        <w:numPr>
          <w:ilvl w:val="0"/>
          <w:numId w:val="2"/>
        </w:numPr>
        <w:rPr>
          <w:color w:val="00B0F0"/>
        </w:rPr>
      </w:pPr>
      <w:r w:rsidRPr="00F7402F">
        <w:rPr>
          <w:color w:val="00B0F0"/>
        </w:rPr>
        <w:t>Calendrier</w:t>
      </w:r>
    </w:p>
    <w:p w14:paraId="4A66034F" w14:textId="77777777" w:rsidR="00664DFA" w:rsidRDefault="00664DFA" w:rsidP="00664DFA">
      <w:pPr>
        <w:spacing w:after="11" w:line="248" w:lineRule="auto"/>
        <w:ind w:left="720"/>
        <w:jc w:val="both"/>
        <w:rPr>
          <w:rFonts w:cstheme="minorHAnsi"/>
          <w:sz w:val="24"/>
          <w:szCs w:val="24"/>
        </w:rPr>
      </w:pPr>
    </w:p>
    <w:p w14:paraId="32093297" w14:textId="0FAC4A70" w:rsidR="00185696" w:rsidRPr="00895B75" w:rsidRDefault="00185696" w:rsidP="00185696">
      <w:pPr>
        <w:numPr>
          <w:ilvl w:val="0"/>
          <w:numId w:val="16"/>
        </w:numPr>
        <w:spacing w:after="11" w:line="248" w:lineRule="auto"/>
        <w:ind w:hanging="360"/>
        <w:jc w:val="both"/>
        <w:rPr>
          <w:rFonts w:cstheme="minorHAnsi"/>
          <w:sz w:val="24"/>
          <w:szCs w:val="24"/>
        </w:rPr>
      </w:pPr>
      <w:r w:rsidRPr="00895B75">
        <w:rPr>
          <w:rFonts w:cstheme="minorHAnsi"/>
          <w:sz w:val="24"/>
          <w:szCs w:val="24"/>
        </w:rPr>
        <w:t>Lancement de l’ap</w:t>
      </w:r>
      <w:r w:rsidR="006D3D58">
        <w:rPr>
          <w:rFonts w:cstheme="minorHAnsi"/>
          <w:sz w:val="24"/>
          <w:szCs w:val="24"/>
        </w:rPr>
        <w:t>pel à projet : jeudi 5 août</w:t>
      </w:r>
      <w:r w:rsidRPr="00895B75">
        <w:rPr>
          <w:rFonts w:cstheme="minorHAnsi"/>
          <w:sz w:val="24"/>
          <w:szCs w:val="24"/>
        </w:rPr>
        <w:t xml:space="preserve"> 2021 ; </w:t>
      </w:r>
    </w:p>
    <w:p w14:paraId="25E68B98" w14:textId="77B880C3" w:rsidR="00185696" w:rsidRPr="00895B75" w:rsidRDefault="00185696" w:rsidP="00185696">
      <w:pPr>
        <w:numPr>
          <w:ilvl w:val="0"/>
          <w:numId w:val="16"/>
        </w:numPr>
        <w:spacing w:after="11" w:line="248" w:lineRule="auto"/>
        <w:ind w:hanging="360"/>
        <w:jc w:val="both"/>
        <w:rPr>
          <w:rFonts w:cstheme="minorHAnsi"/>
          <w:sz w:val="24"/>
          <w:szCs w:val="24"/>
        </w:rPr>
      </w:pPr>
      <w:r w:rsidRPr="00895B75">
        <w:rPr>
          <w:rFonts w:cstheme="minorHAnsi"/>
          <w:sz w:val="24"/>
          <w:szCs w:val="24"/>
        </w:rPr>
        <w:t>Clôtur</w:t>
      </w:r>
      <w:r w:rsidR="006D3D58">
        <w:rPr>
          <w:rFonts w:cstheme="minorHAnsi"/>
          <w:sz w:val="24"/>
          <w:szCs w:val="24"/>
        </w:rPr>
        <w:t>e des candidatures : vendredi 24 septembre</w:t>
      </w:r>
      <w:r w:rsidRPr="00895B75">
        <w:rPr>
          <w:rFonts w:cstheme="minorHAnsi"/>
          <w:sz w:val="24"/>
          <w:szCs w:val="24"/>
        </w:rPr>
        <w:t xml:space="preserve"> minuit </w:t>
      </w:r>
      <w:r w:rsidRPr="00895B75">
        <w:rPr>
          <w:rFonts w:eastAsia="Times New Roman" w:cstheme="minorHAnsi"/>
          <w:sz w:val="24"/>
          <w:szCs w:val="24"/>
        </w:rPr>
        <w:t xml:space="preserve">; </w:t>
      </w:r>
    </w:p>
    <w:p w14:paraId="0A328F27" w14:textId="77777777" w:rsidR="00185696" w:rsidRPr="00895B75" w:rsidRDefault="00185696" w:rsidP="000640D6">
      <w:pPr>
        <w:jc w:val="both"/>
        <w:rPr>
          <w:rFonts w:cstheme="minorHAnsi"/>
          <w:sz w:val="24"/>
          <w:szCs w:val="24"/>
        </w:rPr>
      </w:pPr>
    </w:p>
    <w:p w14:paraId="363D3B16" w14:textId="6C2CB542" w:rsidR="00423BAF" w:rsidRPr="00895B75" w:rsidRDefault="00782C55" w:rsidP="000640D6">
      <w:pPr>
        <w:jc w:val="both"/>
        <w:rPr>
          <w:b/>
        </w:rPr>
      </w:pPr>
      <w:r w:rsidRPr="00895B75">
        <w:rPr>
          <w:b/>
        </w:rPr>
        <w:t xml:space="preserve">Tout dossier incomplet ou hors délai ne sera pas traité. </w:t>
      </w:r>
    </w:p>
    <w:p w14:paraId="6610797B" w14:textId="55AEADAA" w:rsidR="00423BAF" w:rsidRPr="00895B75" w:rsidRDefault="00423BAF" w:rsidP="000640D6">
      <w:pPr>
        <w:jc w:val="both"/>
      </w:pPr>
      <w:r w:rsidRPr="00895B75">
        <w:t xml:space="preserve">Le comité de </w:t>
      </w:r>
      <w:r w:rsidR="005273D8" w:rsidRPr="00895B75">
        <w:t>sélection</w:t>
      </w:r>
      <w:r w:rsidRPr="00895B75">
        <w:t xml:space="preserve"> se réunira </w:t>
      </w:r>
      <w:r w:rsidR="00F54E7F" w:rsidRPr="00895B75">
        <w:t xml:space="preserve">en </w:t>
      </w:r>
      <w:r w:rsidR="006D3D58">
        <w:t>octobre</w:t>
      </w:r>
      <w:r w:rsidR="00B5691D" w:rsidRPr="00895B75">
        <w:t xml:space="preserve"> 2021 </w:t>
      </w:r>
    </w:p>
    <w:p w14:paraId="53C3EAAA" w14:textId="77777777" w:rsidR="00185696" w:rsidRPr="00895B75" w:rsidRDefault="00185696" w:rsidP="00185696">
      <w:pPr>
        <w:pStyle w:val="Titre2"/>
        <w:ind w:left="720"/>
        <w:rPr>
          <w:color w:val="00B0F0"/>
        </w:rPr>
      </w:pPr>
    </w:p>
    <w:p w14:paraId="3040AF05" w14:textId="0584D3F4" w:rsidR="00423BAF" w:rsidRPr="00895B75" w:rsidRDefault="002C0BFC" w:rsidP="002C0BFC">
      <w:pPr>
        <w:pStyle w:val="Titre2"/>
        <w:numPr>
          <w:ilvl w:val="0"/>
          <w:numId w:val="2"/>
        </w:numPr>
        <w:rPr>
          <w:color w:val="00B0F0"/>
        </w:rPr>
      </w:pPr>
      <w:r w:rsidRPr="00895B75">
        <w:rPr>
          <w:color w:val="00B0F0"/>
        </w:rPr>
        <w:t xml:space="preserve">Candidature </w:t>
      </w:r>
    </w:p>
    <w:p w14:paraId="172C4C6A" w14:textId="77777777" w:rsidR="00664DFA" w:rsidRDefault="00664DFA" w:rsidP="00185696">
      <w:pPr>
        <w:spacing w:after="0" w:line="259" w:lineRule="auto"/>
        <w:jc w:val="both"/>
        <w:rPr>
          <w:rFonts w:eastAsiaTheme="minorEastAsia" w:cstheme="minorHAnsi"/>
          <w:sz w:val="24"/>
          <w:szCs w:val="24"/>
        </w:rPr>
      </w:pPr>
    </w:p>
    <w:p w14:paraId="5F43C734" w14:textId="58BEBCAA" w:rsidR="00185696" w:rsidRDefault="00185696" w:rsidP="00185696">
      <w:pPr>
        <w:spacing w:after="0" w:line="259" w:lineRule="auto"/>
        <w:jc w:val="both"/>
        <w:rPr>
          <w:rFonts w:eastAsiaTheme="minorEastAsia" w:cstheme="minorHAnsi"/>
          <w:sz w:val="24"/>
          <w:szCs w:val="24"/>
        </w:rPr>
      </w:pPr>
      <w:r w:rsidRPr="00895B75">
        <w:rPr>
          <w:rFonts w:eastAsiaTheme="minorEastAsia" w:cstheme="minorHAnsi"/>
          <w:sz w:val="24"/>
          <w:szCs w:val="24"/>
        </w:rPr>
        <w:t xml:space="preserve">Le dossier de candidature composé d’une fiche de présentation de l’association, de ses statuts, de la présentation du projet, du dossier CERFA, du budget de l’association et celui du projet, du calendrier de mise en œuvre, doit être déposé, </w:t>
      </w:r>
      <w:r w:rsidR="00895B75" w:rsidRPr="00895B75">
        <w:rPr>
          <w:rFonts w:eastAsiaTheme="minorEastAsia" w:cstheme="minorHAnsi"/>
          <w:b/>
          <w:bCs/>
          <w:sz w:val="24"/>
          <w:szCs w:val="24"/>
        </w:rPr>
        <w:t>au plus tard le</w:t>
      </w:r>
      <w:r w:rsidR="006D3D58">
        <w:rPr>
          <w:rFonts w:eastAsiaTheme="minorEastAsia" w:cstheme="minorHAnsi"/>
          <w:b/>
          <w:bCs/>
          <w:sz w:val="24"/>
          <w:szCs w:val="24"/>
        </w:rPr>
        <w:t xml:space="preserve"> vendredi 24 septembre</w:t>
      </w:r>
      <w:r w:rsidRPr="00895B75">
        <w:rPr>
          <w:rFonts w:eastAsiaTheme="minorEastAsia" w:cstheme="minorHAnsi"/>
          <w:b/>
          <w:bCs/>
          <w:sz w:val="24"/>
          <w:szCs w:val="24"/>
        </w:rPr>
        <w:t xml:space="preserve"> 2021 à 23h59 </w:t>
      </w:r>
      <w:r w:rsidRPr="00895B75">
        <w:rPr>
          <w:rFonts w:eastAsiaTheme="minorEastAsia" w:cstheme="minorHAnsi"/>
          <w:sz w:val="24"/>
          <w:szCs w:val="24"/>
        </w:rPr>
        <w:t xml:space="preserve">(heure de Paris), sur la plateforme « démarches-simplifiées ». </w:t>
      </w:r>
    </w:p>
    <w:p w14:paraId="73888F31" w14:textId="77777777" w:rsidR="00174EEC" w:rsidRDefault="00174EEC" w:rsidP="00174EEC">
      <w:pPr>
        <w:rPr>
          <w:color w:val="1F497D"/>
        </w:rPr>
      </w:pPr>
      <w:hyperlink r:id="rId10" w:history="1">
        <w:r>
          <w:rPr>
            <w:rStyle w:val="Lienhypertexte"/>
          </w:rPr>
          <w:t>https://www.demarches-simplifiees.fr/commencer/appel-a-projets-2021-sur-l-accompagnement-et-le-soutien-scolaire-des-enfants-et-des-jeunes-confies-aux-services-departementaux-de-l-aide-sociale-a-l-enfance</w:t>
        </w:r>
      </w:hyperlink>
    </w:p>
    <w:p w14:paraId="29DED097" w14:textId="77777777" w:rsidR="00664DFA" w:rsidRDefault="00664DFA" w:rsidP="00185696">
      <w:pPr>
        <w:autoSpaceDE w:val="0"/>
        <w:autoSpaceDN w:val="0"/>
        <w:adjustRightInd w:val="0"/>
        <w:spacing w:after="0" w:line="240" w:lineRule="auto"/>
        <w:jc w:val="both"/>
        <w:rPr>
          <w:rFonts w:eastAsiaTheme="minorEastAsia" w:cstheme="minorHAnsi"/>
          <w:sz w:val="24"/>
          <w:szCs w:val="24"/>
        </w:rPr>
      </w:pPr>
      <w:bookmarkStart w:id="0" w:name="_GoBack"/>
      <w:bookmarkEnd w:id="0"/>
    </w:p>
    <w:p w14:paraId="463E083B" w14:textId="5FCBD608" w:rsidR="00185696" w:rsidRPr="00895B75" w:rsidRDefault="00185696" w:rsidP="00185696">
      <w:pPr>
        <w:autoSpaceDE w:val="0"/>
        <w:autoSpaceDN w:val="0"/>
        <w:adjustRightInd w:val="0"/>
        <w:spacing w:after="0" w:line="240" w:lineRule="auto"/>
        <w:jc w:val="both"/>
        <w:rPr>
          <w:rFonts w:eastAsiaTheme="minorEastAsia" w:cstheme="minorHAnsi"/>
          <w:sz w:val="24"/>
          <w:szCs w:val="24"/>
        </w:rPr>
      </w:pPr>
      <w:r w:rsidRPr="00895B75">
        <w:rPr>
          <w:rFonts w:eastAsiaTheme="minorEastAsia" w:cstheme="minorHAnsi"/>
          <w:sz w:val="24"/>
          <w:szCs w:val="24"/>
        </w:rPr>
        <w:t xml:space="preserve">Le coordinateur du projet sera dirigé vers la page dédiée à l’appel à projets sur la plateforme pour créer un compte afin d’accéder au dossier de candidature. Il devra renseigner des éléments en ligne ainsi que télécharger des pièces jointes obligatoires. </w:t>
      </w:r>
    </w:p>
    <w:p w14:paraId="54CEA051" w14:textId="77777777" w:rsidR="00185696" w:rsidRPr="00895B75" w:rsidRDefault="00185696" w:rsidP="00185696">
      <w:pPr>
        <w:autoSpaceDE w:val="0"/>
        <w:autoSpaceDN w:val="0"/>
        <w:adjustRightInd w:val="0"/>
        <w:spacing w:after="0" w:line="240" w:lineRule="auto"/>
        <w:jc w:val="both"/>
        <w:rPr>
          <w:rFonts w:eastAsiaTheme="minorEastAsia" w:cstheme="minorHAnsi"/>
          <w:sz w:val="24"/>
          <w:szCs w:val="24"/>
        </w:rPr>
      </w:pPr>
    </w:p>
    <w:p w14:paraId="15E917F3" w14:textId="77777777" w:rsidR="00185696" w:rsidRPr="00895B75" w:rsidRDefault="00185696" w:rsidP="00185696">
      <w:pPr>
        <w:autoSpaceDE w:val="0"/>
        <w:autoSpaceDN w:val="0"/>
        <w:adjustRightInd w:val="0"/>
        <w:spacing w:after="0" w:line="240" w:lineRule="auto"/>
        <w:jc w:val="both"/>
        <w:rPr>
          <w:sz w:val="24"/>
          <w:szCs w:val="24"/>
        </w:rPr>
      </w:pPr>
      <w:r w:rsidRPr="00895B75">
        <w:rPr>
          <w:rFonts w:eastAsiaTheme="minorEastAsia" w:cstheme="minorHAnsi"/>
          <w:sz w:val="24"/>
          <w:szCs w:val="24"/>
        </w:rPr>
        <w:t xml:space="preserve">Le dossier restera accessible et modifiable jusqu’à la date de clôture des candidatures. Le coordinateur du projet peut autoriser l’accès pour modification au dossier à d’autres personnes s’il le souhaite. </w:t>
      </w:r>
    </w:p>
    <w:p w14:paraId="2A48748F" w14:textId="77777777" w:rsidR="00185696" w:rsidRPr="00895B75" w:rsidRDefault="00185696" w:rsidP="00185696">
      <w:pPr>
        <w:autoSpaceDE w:val="0"/>
        <w:autoSpaceDN w:val="0"/>
        <w:adjustRightInd w:val="0"/>
        <w:spacing w:after="0" w:line="240" w:lineRule="auto"/>
        <w:jc w:val="both"/>
        <w:rPr>
          <w:rFonts w:ascii="Times New Roman" w:eastAsia="Times New Roman" w:hAnsi="Times New Roman" w:cs="Times New Roman"/>
          <w:sz w:val="24"/>
        </w:rPr>
      </w:pPr>
    </w:p>
    <w:p w14:paraId="7D44F218" w14:textId="44EE928A" w:rsidR="00185696" w:rsidRDefault="00185696" w:rsidP="00185696">
      <w:pPr>
        <w:spacing w:after="172" w:line="259" w:lineRule="auto"/>
        <w:jc w:val="both"/>
        <w:rPr>
          <w:rFonts w:eastAsiaTheme="minorEastAsia" w:cstheme="minorHAnsi"/>
          <w:sz w:val="24"/>
          <w:szCs w:val="24"/>
        </w:rPr>
      </w:pPr>
      <w:r w:rsidRPr="00895B75">
        <w:rPr>
          <w:rFonts w:eastAsiaTheme="minorEastAsia" w:cstheme="minorHAnsi"/>
          <w:sz w:val="24"/>
          <w:szCs w:val="24"/>
        </w:rPr>
        <w:t>Il est impératif de compléter le dossier en ligne dans son intégralité (sans document complémentaire non demandé) et de joindre la totalité des pièces demandées avant la date limite de dépôt du dossier. Tout dossier incomplet et/ou transmis hors délai ne sera pas pris en compte.</w:t>
      </w:r>
    </w:p>
    <w:p w14:paraId="0F7892F3" w14:textId="77777777" w:rsidR="00895B75" w:rsidRPr="00B22C52" w:rsidRDefault="00895B75" w:rsidP="00185696">
      <w:pPr>
        <w:spacing w:after="172" w:line="259" w:lineRule="auto"/>
        <w:jc w:val="both"/>
        <w:rPr>
          <w:rFonts w:eastAsiaTheme="minorEastAsia" w:cstheme="minorHAnsi"/>
          <w:sz w:val="24"/>
          <w:szCs w:val="24"/>
        </w:rPr>
      </w:pPr>
    </w:p>
    <w:p w14:paraId="5E88CAB2" w14:textId="6A122BBD" w:rsidR="00760A01" w:rsidRPr="00177B37" w:rsidRDefault="00760A01" w:rsidP="00185696">
      <w:pPr>
        <w:pStyle w:val="Titre2"/>
        <w:numPr>
          <w:ilvl w:val="0"/>
          <w:numId w:val="2"/>
        </w:numPr>
        <w:jc w:val="both"/>
        <w:rPr>
          <w:color w:val="00B0F0"/>
        </w:rPr>
      </w:pPr>
      <w:r w:rsidRPr="00177B37">
        <w:rPr>
          <w:color w:val="00B0F0"/>
        </w:rPr>
        <w:t>Contact</w:t>
      </w:r>
    </w:p>
    <w:p w14:paraId="605EB03E" w14:textId="2B9C29F2" w:rsidR="002754C7" w:rsidRDefault="002754C7" w:rsidP="00185696">
      <w:pPr>
        <w:jc w:val="both"/>
      </w:pPr>
    </w:p>
    <w:p w14:paraId="1439A139" w14:textId="77777777" w:rsidR="00760A01" w:rsidRDefault="00760A01" w:rsidP="00185696">
      <w:pPr>
        <w:jc w:val="both"/>
      </w:pPr>
      <w:r>
        <w:t>Pour toute question, les candidats peuvent pren</w:t>
      </w:r>
      <w:r w:rsidR="002754C7" w:rsidRPr="00760A01">
        <w:t xml:space="preserve">dre contact avec le bureau de la protection de l’enfance et de l’adolescence de la DGCS : </w:t>
      </w:r>
    </w:p>
    <w:p w14:paraId="2101E037" w14:textId="7FE5E5E9" w:rsidR="002754C7" w:rsidRDefault="00760A01" w:rsidP="00185696">
      <w:pPr>
        <w:jc w:val="both"/>
      </w:pPr>
      <w:r>
        <w:lastRenderedPageBreak/>
        <w:t xml:space="preserve">Mail : </w:t>
      </w:r>
      <w:hyperlink r:id="rId11" w:history="1">
        <w:r w:rsidR="002754C7" w:rsidRPr="00760A01">
          <w:t>DGCS-PROTECTION-ENFANCE@social.gouv.fr</w:t>
        </w:r>
      </w:hyperlink>
    </w:p>
    <w:sectPr w:rsidR="002754C7" w:rsidSect="00B47923">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BBC8C" w14:textId="77777777" w:rsidR="00633AB5" w:rsidRDefault="00633AB5" w:rsidP="00962BB3">
      <w:pPr>
        <w:spacing w:after="0" w:line="240" w:lineRule="auto"/>
      </w:pPr>
      <w:r>
        <w:separator/>
      </w:r>
    </w:p>
  </w:endnote>
  <w:endnote w:type="continuationSeparator" w:id="0">
    <w:p w14:paraId="501F1E7E" w14:textId="77777777" w:rsidR="00633AB5" w:rsidRDefault="00633AB5" w:rsidP="0096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B49FE" w14:textId="77777777" w:rsidR="00633AB5" w:rsidRDefault="00633AB5" w:rsidP="00962BB3">
      <w:pPr>
        <w:spacing w:after="0" w:line="240" w:lineRule="auto"/>
      </w:pPr>
      <w:r>
        <w:separator/>
      </w:r>
    </w:p>
  </w:footnote>
  <w:footnote w:type="continuationSeparator" w:id="0">
    <w:p w14:paraId="39FB34AC" w14:textId="77777777" w:rsidR="00633AB5" w:rsidRDefault="00633AB5" w:rsidP="0096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ED17" w14:textId="1120FC81" w:rsidR="0041541E" w:rsidRDefault="0041541E" w:rsidP="00962BB3">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3A5D" w14:textId="022C521D" w:rsidR="0041541E" w:rsidRDefault="009B6EC6" w:rsidP="00157D4E">
    <w:pPr>
      <w:pStyle w:val="En-tte"/>
    </w:pPr>
    <w:r w:rsidRPr="009B6EC6">
      <w:rPr>
        <w:noProof/>
        <w:lang w:eastAsia="fr-FR"/>
      </w:rPr>
      <w:drawing>
        <wp:inline distT="0" distB="0" distL="0" distR="0" wp14:anchorId="56E2508D" wp14:editId="433903A5">
          <wp:extent cx="1714500" cy="1314450"/>
          <wp:effectExtent l="0" t="0" r="0" b="0"/>
          <wp:docPr id="3" name="Image 3" descr="C:\Users\LAURE~1.NEL\AppData\Local\Temp\7zO4B24CFAC\MIN_Solidarites_San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1.NEL\AppData\Local\Temp\7zO4B24CFAC\MIN_Solidarites_Sante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129" cy="1315699"/>
                  </a:xfrm>
                  <a:prstGeom prst="rect">
                    <a:avLst/>
                  </a:prstGeom>
                  <a:noFill/>
                  <a:ln>
                    <a:noFill/>
                  </a:ln>
                </pic:spPr>
              </pic:pic>
            </a:graphicData>
          </a:graphic>
        </wp:inline>
      </w:drawing>
    </w:r>
    <w:r>
      <w:tab/>
    </w:r>
    <w:r>
      <w:tab/>
    </w:r>
  </w:p>
  <w:p w14:paraId="68C8EE0E" w14:textId="77777777" w:rsidR="0041541E" w:rsidRDefault="0041541E" w:rsidP="00157D4E">
    <w:pPr>
      <w:pStyle w:val="En-tte"/>
    </w:pPr>
  </w:p>
  <w:p w14:paraId="7F617B0E" w14:textId="77777777" w:rsidR="0041541E" w:rsidRDefault="0041541E" w:rsidP="00157D4E">
    <w:pPr>
      <w:pStyle w:val="En-tte"/>
    </w:pPr>
  </w:p>
  <w:p w14:paraId="59BABE79" w14:textId="77777777" w:rsidR="0041541E" w:rsidRDefault="0041541E" w:rsidP="00157D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1F2"/>
    <w:multiLevelType w:val="hybridMultilevel"/>
    <w:tmpl w:val="3C7CF2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E06CE"/>
    <w:multiLevelType w:val="hybridMultilevel"/>
    <w:tmpl w:val="83106668"/>
    <w:lvl w:ilvl="0" w:tplc="040C000B">
      <w:start w:val="1"/>
      <w:numFmt w:val="bullet"/>
      <w:lvlText w:val=""/>
      <w:lvlJc w:val="left"/>
      <w:pPr>
        <w:ind w:left="1856" w:hanging="360"/>
      </w:pPr>
      <w:rPr>
        <w:rFonts w:ascii="Wingdings" w:hAnsi="Wingdings" w:hint="default"/>
      </w:rPr>
    </w:lvl>
    <w:lvl w:ilvl="1" w:tplc="385E007A">
      <w:numFmt w:val="bullet"/>
      <w:lvlText w:val="-"/>
      <w:lvlJc w:val="left"/>
      <w:pPr>
        <w:ind w:left="2576" w:hanging="360"/>
      </w:pPr>
      <w:rPr>
        <w:rFonts w:ascii="Calibri" w:eastAsia="Times New Roman" w:hAnsi="Calibri" w:cs="Calibri" w:hint="default"/>
      </w:rPr>
    </w:lvl>
    <w:lvl w:ilvl="2" w:tplc="040C0005" w:tentative="1">
      <w:start w:val="1"/>
      <w:numFmt w:val="bullet"/>
      <w:lvlText w:val=""/>
      <w:lvlJc w:val="left"/>
      <w:pPr>
        <w:ind w:left="3296" w:hanging="360"/>
      </w:pPr>
      <w:rPr>
        <w:rFonts w:ascii="Wingdings" w:hAnsi="Wingdings" w:hint="default"/>
      </w:rPr>
    </w:lvl>
    <w:lvl w:ilvl="3" w:tplc="040C0001" w:tentative="1">
      <w:start w:val="1"/>
      <w:numFmt w:val="bullet"/>
      <w:lvlText w:val=""/>
      <w:lvlJc w:val="left"/>
      <w:pPr>
        <w:ind w:left="4016" w:hanging="360"/>
      </w:pPr>
      <w:rPr>
        <w:rFonts w:ascii="Symbol" w:hAnsi="Symbol" w:hint="default"/>
      </w:rPr>
    </w:lvl>
    <w:lvl w:ilvl="4" w:tplc="040C0003" w:tentative="1">
      <w:start w:val="1"/>
      <w:numFmt w:val="bullet"/>
      <w:lvlText w:val="o"/>
      <w:lvlJc w:val="left"/>
      <w:pPr>
        <w:ind w:left="4736" w:hanging="360"/>
      </w:pPr>
      <w:rPr>
        <w:rFonts w:ascii="Courier New" w:hAnsi="Courier New" w:cs="Courier New" w:hint="default"/>
      </w:rPr>
    </w:lvl>
    <w:lvl w:ilvl="5" w:tplc="040C0005" w:tentative="1">
      <w:start w:val="1"/>
      <w:numFmt w:val="bullet"/>
      <w:lvlText w:val=""/>
      <w:lvlJc w:val="left"/>
      <w:pPr>
        <w:ind w:left="5456" w:hanging="360"/>
      </w:pPr>
      <w:rPr>
        <w:rFonts w:ascii="Wingdings" w:hAnsi="Wingdings" w:hint="default"/>
      </w:rPr>
    </w:lvl>
    <w:lvl w:ilvl="6" w:tplc="040C0001" w:tentative="1">
      <w:start w:val="1"/>
      <w:numFmt w:val="bullet"/>
      <w:lvlText w:val=""/>
      <w:lvlJc w:val="left"/>
      <w:pPr>
        <w:ind w:left="6176" w:hanging="360"/>
      </w:pPr>
      <w:rPr>
        <w:rFonts w:ascii="Symbol" w:hAnsi="Symbol" w:hint="default"/>
      </w:rPr>
    </w:lvl>
    <w:lvl w:ilvl="7" w:tplc="040C0003" w:tentative="1">
      <w:start w:val="1"/>
      <w:numFmt w:val="bullet"/>
      <w:lvlText w:val="o"/>
      <w:lvlJc w:val="left"/>
      <w:pPr>
        <w:ind w:left="6896" w:hanging="360"/>
      </w:pPr>
      <w:rPr>
        <w:rFonts w:ascii="Courier New" w:hAnsi="Courier New" w:cs="Courier New" w:hint="default"/>
      </w:rPr>
    </w:lvl>
    <w:lvl w:ilvl="8" w:tplc="040C0005" w:tentative="1">
      <w:start w:val="1"/>
      <w:numFmt w:val="bullet"/>
      <w:lvlText w:val=""/>
      <w:lvlJc w:val="left"/>
      <w:pPr>
        <w:ind w:left="7616" w:hanging="360"/>
      </w:pPr>
      <w:rPr>
        <w:rFonts w:ascii="Wingdings" w:hAnsi="Wingdings" w:hint="default"/>
      </w:rPr>
    </w:lvl>
  </w:abstractNum>
  <w:abstractNum w:abstractNumId="2" w15:restartNumberingAfterBreak="0">
    <w:nsid w:val="057344CE"/>
    <w:multiLevelType w:val="hybridMultilevel"/>
    <w:tmpl w:val="BF861254"/>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07D10CE3"/>
    <w:multiLevelType w:val="hybridMultilevel"/>
    <w:tmpl w:val="747899BC"/>
    <w:lvl w:ilvl="0" w:tplc="C9A2F77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13086"/>
    <w:multiLevelType w:val="hybridMultilevel"/>
    <w:tmpl w:val="60B6B8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46A07"/>
    <w:multiLevelType w:val="hybridMultilevel"/>
    <w:tmpl w:val="B3F2F93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A8B3599"/>
    <w:multiLevelType w:val="hybridMultilevel"/>
    <w:tmpl w:val="F17CC9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DA628B"/>
    <w:multiLevelType w:val="multilevel"/>
    <w:tmpl w:val="3BDA628B"/>
    <w:lvl w:ilvl="0">
      <w:start w:val="1"/>
      <w:numFmt w:val="bullet"/>
      <w:lvlText w:val="-"/>
      <w:lvlJc w:val="left"/>
      <w:pPr>
        <w:ind w:left="720"/>
      </w:pPr>
      <w:rPr>
        <w:rFonts w:ascii="Arial" w:eastAsia="Arial" w:hAnsi="Arial" w:cs="Arial"/>
        <w:b/>
        <w:bCs/>
        <w:i w:val="0"/>
        <w:strike w:val="0"/>
        <w:dstrike w:val="0"/>
        <w:color w:val="000000"/>
        <w:sz w:val="22"/>
        <w:szCs w:val="22"/>
        <w:u w:val="none" w:color="000000"/>
        <w:shd w:val="clear" w:color="auto" w:fill="auto"/>
        <w:vertAlign w:val="baseline"/>
      </w:rPr>
    </w:lvl>
    <w:lvl w:ilvl="1">
      <w:start w:val="1"/>
      <w:numFmt w:val="bullet"/>
      <w:lvlText w:val="o"/>
      <w:lvlJc w:val="left"/>
      <w:pPr>
        <w:ind w:left="1438"/>
      </w:pPr>
      <w:rPr>
        <w:rFonts w:ascii="Arial" w:eastAsia="Arial" w:hAnsi="Arial" w:cs="Arial"/>
        <w:b/>
        <w:bCs/>
        <w:i w:val="0"/>
        <w:strike w:val="0"/>
        <w:dstrike w:val="0"/>
        <w:color w:val="000000"/>
        <w:sz w:val="22"/>
        <w:szCs w:val="22"/>
        <w:u w:val="none" w:color="000000"/>
        <w:shd w:val="clear" w:color="auto" w:fill="auto"/>
        <w:vertAlign w:val="baseline"/>
      </w:rPr>
    </w:lvl>
    <w:lvl w:ilvl="2">
      <w:start w:val="1"/>
      <w:numFmt w:val="bullet"/>
      <w:lvlText w:val="▪"/>
      <w:lvlJc w:val="left"/>
      <w:pPr>
        <w:ind w:left="2158"/>
      </w:pPr>
      <w:rPr>
        <w:rFonts w:ascii="Arial" w:eastAsia="Arial" w:hAnsi="Arial" w:cs="Arial"/>
        <w:b/>
        <w:bCs/>
        <w:i w:val="0"/>
        <w:strike w:val="0"/>
        <w:dstrike w:val="0"/>
        <w:color w:val="000000"/>
        <w:sz w:val="22"/>
        <w:szCs w:val="22"/>
        <w:u w:val="none" w:color="000000"/>
        <w:shd w:val="clear" w:color="auto" w:fill="auto"/>
        <w:vertAlign w:val="baseline"/>
      </w:rPr>
    </w:lvl>
    <w:lvl w:ilvl="3">
      <w:start w:val="1"/>
      <w:numFmt w:val="bullet"/>
      <w:lvlText w:val="•"/>
      <w:lvlJc w:val="left"/>
      <w:pPr>
        <w:ind w:left="2878"/>
      </w:pPr>
      <w:rPr>
        <w:rFonts w:ascii="Arial" w:eastAsia="Arial" w:hAnsi="Arial" w:cs="Arial"/>
        <w:b/>
        <w:bCs/>
        <w:i w:val="0"/>
        <w:strike w:val="0"/>
        <w:dstrike w:val="0"/>
        <w:color w:val="000000"/>
        <w:sz w:val="22"/>
        <w:szCs w:val="22"/>
        <w:u w:val="none" w:color="000000"/>
        <w:shd w:val="clear" w:color="auto" w:fill="auto"/>
        <w:vertAlign w:val="baseline"/>
      </w:rPr>
    </w:lvl>
    <w:lvl w:ilvl="4">
      <w:start w:val="1"/>
      <w:numFmt w:val="bullet"/>
      <w:lvlText w:val="o"/>
      <w:lvlJc w:val="left"/>
      <w:pPr>
        <w:ind w:left="3598"/>
      </w:pPr>
      <w:rPr>
        <w:rFonts w:ascii="Arial" w:eastAsia="Arial" w:hAnsi="Arial" w:cs="Arial"/>
        <w:b/>
        <w:bCs/>
        <w:i w:val="0"/>
        <w:strike w:val="0"/>
        <w:dstrike w:val="0"/>
        <w:color w:val="000000"/>
        <w:sz w:val="22"/>
        <w:szCs w:val="22"/>
        <w:u w:val="none" w:color="000000"/>
        <w:shd w:val="clear" w:color="auto" w:fill="auto"/>
        <w:vertAlign w:val="baseline"/>
      </w:rPr>
    </w:lvl>
    <w:lvl w:ilvl="5">
      <w:start w:val="1"/>
      <w:numFmt w:val="bullet"/>
      <w:lvlText w:val="▪"/>
      <w:lvlJc w:val="left"/>
      <w:pPr>
        <w:ind w:left="4318"/>
      </w:pPr>
      <w:rPr>
        <w:rFonts w:ascii="Arial" w:eastAsia="Arial" w:hAnsi="Arial" w:cs="Arial"/>
        <w:b/>
        <w:bCs/>
        <w:i w:val="0"/>
        <w:strike w:val="0"/>
        <w:dstrike w:val="0"/>
        <w:color w:val="000000"/>
        <w:sz w:val="22"/>
        <w:szCs w:val="22"/>
        <w:u w:val="none" w:color="000000"/>
        <w:shd w:val="clear" w:color="auto" w:fill="auto"/>
        <w:vertAlign w:val="baseline"/>
      </w:rPr>
    </w:lvl>
    <w:lvl w:ilvl="6">
      <w:start w:val="1"/>
      <w:numFmt w:val="bullet"/>
      <w:lvlText w:val="•"/>
      <w:lvlJc w:val="left"/>
      <w:pPr>
        <w:ind w:left="5038"/>
      </w:pPr>
      <w:rPr>
        <w:rFonts w:ascii="Arial" w:eastAsia="Arial" w:hAnsi="Arial" w:cs="Arial"/>
        <w:b/>
        <w:bCs/>
        <w:i w:val="0"/>
        <w:strike w:val="0"/>
        <w:dstrike w:val="0"/>
        <w:color w:val="000000"/>
        <w:sz w:val="22"/>
        <w:szCs w:val="22"/>
        <w:u w:val="none" w:color="000000"/>
        <w:shd w:val="clear" w:color="auto" w:fill="auto"/>
        <w:vertAlign w:val="baseline"/>
      </w:rPr>
    </w:lvl>
    <w:lvl w:ilvl="7">
      <w:start w:val="1"/>
      <w:numFmt w:val="bullet"/>
      <w:lvlText w:val="o"/>
      <w:lvlJc w:val="left"/>
      <w:pPr>
        <w:ind w:left="5758"/>
      </w:pPr>
      <w:rPr>
        <w:rFonts w:ascii="Arial" w:eastAsia="Arial" w:hAnsi="Arial" w:cs="Arial"/>
        <w:b/>
        <w:bCs/>
        <w:i w:val="0"/>
        <w:strike w:val="0"/>
        <w:dstrike w:val="0"/>
        <w:color w:val="000000"/>
        <w:sz w:val="22"/>
        <w:szCs w:val="22"/>
        <w:u w:val="none" w:color="000000"/>
        <w:shd w:val="clear" w:color="auto" w:fill="auto"/>
        <w:vertAlign w:val="baseline"/>
      </w:rPr>
    </w:lvl>
    <w:lvl w:ilvl="8">
      <w:start w:val="1"/>
      <w:numFmt w:val="bullet"/>
      <w:lvlText w:val="▪"/>
      <w:lvlJc w:val="left"/>
      <w:pPr>
        <w:ind w:left="6478"/>
      </w:pPr>
      <w:rPr>
        <w:rFonts w:ascii="Arial" w:eastAsia="Arial" w:hAnsi="Arial" w:cs="Arial"/>
        <w:b/>
        <w:bCs/>
        <w:i w:val="0"/>
        <w:strike w:val="0"/>
        <w:dstrike w:val="0"/>
        <w:color w:val="000000"/>
        <w:sz w:val="22"/>
        <w:szCs w:val="22"/>
        <w:u w:val="none" w:color="000000"/>
        <w:shd w:val="clear" w:color="auto" w:fill="auto"/>
        <w:vertAlign w:val="baseline"/>
      </w:rPr>
    </w:lvl>
  </w:abstractNum>
  <w:abstractNum w:abstractNumId="8" w15:restartNumberingAfterBreak="0">
    <w:nsid w:val="3DC72F2A"/>
    <w:multiLevelType w:val="hybridMultilevel"/>
    <w:tmpl w:val="38907DB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6170966"/>
    <w:multiLevelType w:val="hybridMultilevel"/>
    <w:tmpl w:val="4AFE70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E1777A"/>
    <w:multiLevelType w:val="hybridMultilevel"/>
    <w:tmpl w:val="A5F2E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0143EE"/>
    <w:multiLevelType w:val="hybridMultilevel"/>
    <w:tmpl w:val="9DBE1BD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54620D"/>
    <w:multiLevelType w:val="hybridMultilevel"/>
    <w:tmpl w:val="5A643F1C"/>
    <w:lvl w:ilvl="0" w:tplc="FC644A7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0C2BAD"/>
    <w:multiLevelType w:val="multilevel"/>
    <w:tmpl w:val="756A0870"/>
    <w:lvl w:ilvl="0">
      <w:start w:val="1"/>
      <w:numFmt w:val="bullet"/>
      <w:lvlText w:val=""/>
      <w:lvlJc w:val="left"/>
      <w:pPr>
        <w:ind w:left="720"/>
      </w:pPr>
      <w:rPr>
        <w:rFonts w:ascii="Wingdings" w:hAnsi="Wingdings" w:hint="default"/>
        <w:b/>
        <w:bCs/>
        <w:i w:val="0"/>
        <w:strike w:val="0"/>
        <w:dstrike w:val="0"/>
        <w:color w:val="000000"/>
        <w:sz w:val="22"/>
        <w:szCs w:val="22"/>
        <w:u w:val="none" w:color="000000"/>
        <w:shd w:val="clear" w:color="auto" w:fill="auto"/>
        <w:vertAlign w:val="baseline"/>
      </w:rPr>
    </w:lvl>
    <w:lvl w:ilvl="1">
      <w:start w:val="1"/>
      <w:numFmt w:val="bullet"/>
      <w:lvlText w:val="o"/>
      <w:lvlJc w:val="left"/>
      <w:pPr>
        <w:ind w:left="1438"/>
      </w:pPr>
      <w:rPr>
        <w:rFonts w:ascii="Arial" w:eastAsia="Arial" w:hAnsi="Arial" w:cs="Arial"/>
        <w:b/>
        <w:bCs/>
        <w:i w:val="0"/>
        <w:strike w:val="0"/>
        <w:dstrike w:val="0"/>
        <w:color w:val="000000"/>
        <w:sz w:val="22"/>
        <w:szCs w:val="22"/>
        <w:u w:val="none" w:color="000000"/>
        <w:shd w:val="clear" w:color="auto" w:fill="auto"/>
        <w:vertAlign w:val="baseline"/>
      </w:rPr>
    </w:lvl>
    <w:lvl w:ilvl="2">
      <w:start w:val="1"/>
      <w:numFmt w:val="bullet"/>
      <w:lvlText w:val="▪"/>
      <w:lvlJc w:val="left"/>
      <w:pPr>
        <w:ind w:left="2158"/>
      </w:pPr>
      <w:rPr>
        <w:rFonts w:ascii="Arial" w:eastAsia="Arial" w:hAnsi="Arial" w:cs="Arial"/>
        <w:b/>
        <w:bCs/>
        <w:i w:val="0"/>
        <w:strike w:val="0"/>
        <w:dstrike w:val="0"/>
        <w:color w:val="000000"/>
        <w:sz w:val="22"/>
        <w:szCs w:val="22"/>
        <w:u w:val="none" w:color="000000"/>
        <w:shd w:val="clear" w:color="auto" w:fill="auto"/>
        <w:vertAlign w:val="baseline"/>
      </w:rPr>
    </w:lvl>
    <w:lvl w:ilvl="3">
      <w:start w:val="1"/>
      <w:numFmt w:val="bullet"/>
      <w:lvlText w:val="•"/>
      <w:lvlJc w:val="left"/>
      <w:pPr>
        <w:ind w:left="2878"/>
      </w:pPr>
      <w:rPr>
        <w:rFonts w:ascii="Arial" w:eastAsia="Arial" w:hAnsi="Arial" w:cs="Arial"/>
        <w:b/>
        <w:bCs/>
        <w:i w:val="0"/>
        <w:strike w:val="0"/>
        <w:dstrike w:val="0"/>
        <w:color w:val="000000"/>
        <w:sz w:val="22"/>
        <w:szCs w:val="22"/>
        <w:u w:val="none" w:color="000000"/>
        <w:shd w:val="clear" w:color="auto" w:fill="auto"/>
        <w:vertAlign w:val="baseline"/>
      </w:rPr>
    </w:lvl>
    <w:lvl w:ilvl="4">
      <w:start w:val="1"/>
      <w:numFmt w:val="bullet"/>
      <w:lvlText w:val="o"/>
      <w:lvlJc w:val="left"/>
      <w:pPr>
        <w:ind w:left="3598"/>
      </w:pPr>
      <w:rPr>
        <w:rFonts w:ascii="Arial" w:eastAsia="Arial" w:hAnsi="Arial" w:cs="Arial"/>
        <w:b/>
        <w:bCs/>
        <w:i w:val="0"/>
        <w:strike w:val="0"/>
        <w:dstrike w:val="0"/>
        <w:color w:val="000000"/>
        <w:sz w:val="22"/>
        <w:szCs w:val="22"/>
        <w:u w:val="none" w:color="000000"/>
        <w:shd w:val="clear" w:color="auto" w:fill="auto"/>
        <w:vertAlign w:val="baseline"/>
      </w:rPr>
    </w:lvl>
    <w:lvl w:ilvl="5">
      <w:start w:val="1"/>
      <w:numFmt w:val="bullet"/>
      <w:lvlText w:val="▪"/>
      <w:lvlJc w:val="left"/>
      <w:pPr>
        <w:ind w:left="4318"/>
      </w:pPr>
      <w:rPr>
        <w:rFonts w:ascii="Arial" w:eastAsia="Arial" w:hAnsi="Arial" w:cs="Arial"/>
        <w:b/>
        <w:bCs/>
        <w:i w:val="0"/>
        <w:strike w:val="0"/>
        <w:dstrike w:val="0"/>
        <w:color w:val="000000"/>
        <w:sz w:val="22"/>
        <w:szCs w:val="22"/>
        <w:u w:val="none" w:color="000000"/>
        <w:shd w:val="clear" w:color="auto" w:fill="auto"/>
        <w:vertAlign w:val="baseline"/>
      </w:rPr>
    </w:lvl>
    <w:lvl w:ilvl="6">
      <w:start w:val="1"/>
      <w:numFmt w:val="bullet"/>
      <w:lvlText w:val="•"/>
      <w:lvlJc w:val="left"/>
      <w:pPr>
        <w:ind w:left="5038"/>
      </w:pPr>
      <w:rPr>
        <w:rFonts w:ascii="Arial" w:eastAsia="Arial" w:hAnsi="Arial" w:cs="Arial"/>
        <w:b/>
        <w:bCs/>
        <w:i w:val="0"/>
        <w:strike w:val="0"/>
        <w:dstrike w:val="0"/>
        <w:color w:val="000000"/>
        <w:sz w:val="22"/>
        <w:szCs w:val="22"/>
        <w:u w:val="none" w:color="000000"/>
        <w:shd w:val="clear" w:color="auto" w:fill="auto"/>
        <w:vertAlign w:val="baseline"/>
      </w:rPr>
    </w:lvl>
    <w:lvl w:ilvl="7">
      <w:start w:val="1"/>
      <w:numFmt w:val="bullet"/>
      <w:lvlText w:val="o"/>
      <w:lvlJc w:val="left"/>
      <w:pPr>
        <w:ind w:left="5758"/>
      </w:pPr>
      <w:rPr>
        <w:rFonts w:ascii="Arial" w:eastAsia="Arial" w:hAnsi="Arial" w:cs="Arial"/>
        <w:b/>
        <w:bCs/>
        <w:i w:val="0"/>
        <w:strike w:val="0"/>
        <w:dstrike w:val="0"/>
        <w:color w:val="000000"/>
        <w:sz w:val="22"/>
        <w:szCs w:val="22"/>
        <w:u w:val="none" w:color="000000"/>
        <w:shd w:val="clear" w:color="auto" w:fill="auto"/>
        <w:vertAlign w:val="baseline"/>
      </w:rPr>
    </w:lvl>
    <w:lvl w:ilvl="8">
      <w:start w:val="1"/>
      <w:numFmt w:val="bullet"/>
      <w:lvlText w:val="▪"/>
      <w:lvlJc w:val="left"/>
      <w:pPr>
        <w:ind w:left="6478"/>
      </w:pPr>
      <w:rPr>
        <w:rFonts w:ascii="Arial" w:eastAsia="Arial" w:hAnsi="Arial" w:cs="Arial"/>
        <w:b/>
        <w:bCs/>
        <w:i w:val="0"/>
        <w:strike w:val="0"/>
        <w:dstrike w:val="0"/>
        <w:color w:val="000000"/>
        <w:sz w:val="22"/>
        <w:szCs w:val="22"/>
        <w:u w:val="none" w:color="000000"/>
        <w:shd w:val="clear" w:color="auto" w:fill="auto"/>
        <w:vertAlign w:val="baseline"/>
      </w:rPr>
    </w:lvl>
  </w:abstractNum>
  <w:abstractNum w:abstractNumId="14" w15:restartNumberingAfterBreak="0">
    <w:nsid w:val="77622AEC"/>
    <w:multiLevelType w:val="hybridMultilevel"/>
    <w:tmpl w:val="2F6E1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A932A91"/>
    <w:multiLevelType w:val="hybridMultilevel"/>
    <w:tmpl w:val="2F6E13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3"/>
  </w:num>
  <w:num w:numId="5">
    <w:abstractNumId w:val="12"/>
  </w:num>
  <w:num w:numId="6">
    <w:abstractNumId w:val="4"/>
  </w:num>
  <w:num w:numId="7">
    <w:abstractNumId w:val="9"/>
  </w:num>
  <w:num w:numId="8">
    <w:abstractNumId w:val="5"/>
  </w:num>
  <w:num w:numId="9">
    <w:abstractNumId w:val="0"/>
  </w:num>
  <w:num w:numId="10">
    <w:abstractNumId w:val="6"/>
  </w:num>
  <w:num w:numId="11">
    <w:abstractNumId w:val="1"/>
  </w:num>
  <w:num w:numId="12">
    <w:abstractNumId w:val="8"/>
  </w:num>
  <w:num w:numId="13">
    <w:abstractNumId w:val="11"/>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3"/>
    <w:rsid w:val="0000663E"/>
    <w:rsid w:val="00015AC7"/>
    <w:rsid w:val="000640D6"/>
    <w:rsid w:val="00073253"/>
    <w:rsid w:val="00086AE1"/>
    <w:rsid w:val="000A0EAE"/>
    <w:rsid w:val="000C70EB"/>
    <w:rsid w:val="000D19C3"/>
    <w:rsid w:val="00136693"/>
    <w:rsid w:val="00150820"/>
    <w:rsid w:val="00157D4E"/>
    <w:rsid w:val="00170FD6"/>
    <w:rsid w:val="00174EEC"/>
    <w:rsid w:val="00177B37"/>
    <w:rsid w:val="00185696"/>
    <w:rsid w:val="001C3116"/>
    <w:rsid w:val="001D2459"/>
    <w:rsid w:val="001E7191"/>
    <w:rsid w:val="001E7A69"/>
    <w:rsid w:val="001F793B"/>
    <w:rsid w:val="00215D24"/>
    <w:rsid w:val="002357EA"/>
    <w:rsid w:val="00235CF4"/>
    <w:rsid w:val="002754C7"/>
    <w:rsid w:val="002840C5"/>
    <w:rsid w:val="00286C43"/>
    <w:rsid w:val="002B1133"/>
    <w:rsid w:val="002B350E"/>
    <w:rsid w:val="002B6B0C"/>
    <w:rsid w:val="002B6D68"/>
    <w:rsid w:val="002C0BFC"/>
    <w:rsid w:val="002E642B"/>
    <w:rsid w:val="002F59A4"/>
    <w:rsid w:val="00317EE3"/>
    <w:rsid w:val="0032530A"/>
    <w:rsid w:val="00340429"/>
    <w:rsid w:val="00350F45"/>
    <w:rsid w:val="0038334B"/>
    <w:rsid w:val="00387511"/>
    <w:rsid w:val="00396124"/>
    <w:rsid w:val="003A3918"/>
    <w:rsid w:val="003C66D8"/>
    <w:rsid w:val="00401582"/>
    <w:rsid w:val="00405265"/>
    <w:rsid w:val="0041541E"/>
    <w:rsid w:val="00423260"/>
    <w:rsid w:val="00423BAF"/>
    <w:rsid w:val="004451EF"/>
    <w:rsid w:val="00455019"/>
    <w:rsid w:val="00462AC4"/>
    <w:rsid w:val="00472E01"/>
    <w:rsid w:val="0048703B"/>
    <w:rsid w:val="00495D3C"/>
    <w:rsid w:val="00495DD7"/>
    <w:rsid w:val="00496653"/>
    <w:rsid w:val="004D6B7F"/>
    <w:rsid w:val="004E08C2"/>
    <w:rsid w:val="004F0312"/>
    <w:rsid w:val="00507546"/>
    <w:rsid w:val="005145C2"/>
    <w:rsid w:val="005273D8"/>
    <w:rsid w:val="00532CBF"/>
    <w:rsid w:val="0058130C"/>
    <w:rsid w:val="00581A32"/>
    <w:rsid w:val="00590EA9"/>
    <w:rsid w:val="005F4DC8"/>
    <w:rsid w:val="006246A9"/>
    <w:rsid w:val="00633AB5"/>
    <w:rsid w:val="00664DFA"/>
    <w:rsid w:val="00680875"/>
    <w:rsid w:val="00697021"/>
    <w:rsid w:val="006A5D38"/>
    <w:rsid w:val="006C0E75"/>
    <w:rsid w:val="006D3873"/>
    <w:rsid w:val="006D3D58"/>
    <w:rsid w:val="006F79F4"/>
    <w:rsid w:val="007016A7"/>
    <w:rsid w:val="00724CCC"/>
    <w:rsid w:val="007252D1"/>
    <w:rsid w:val="00727DA6"/>
    <w:rsid w:val="007539B4"/>
    <w:rsid w:val="00760A01"/>
    <w:rsid w:val="00774DAF"/>
    <w:rsid w:val="00777561"/>
    <w:rsid w:val="00782C55"/>
    <w:rsid w:val="007A4869"/>
    <w:rsid w:val="007B3877"/>
    <w:rsid w:val="007E67CF"/>
    <w:rsid w:val="007E749C"/>
    <w:rsid w:val="0084530E"/>
    <w:rsid w:val="008555EB"/>
    <w:rsid w:val="008704AE"/>
    <w:rsid w:val="00895B75"/>
    <w:rsid w:val="008B596E"/>
    <w:rsid w:val="008D70A6"/>
    <w:rsid w:val="008F4C92"/>
    <w:rsid w:val="0090578E"/>
    <w:rsid w:val="009360B4"/>
    <w:rsid w:val="00946B56"/>
    <w:rsid w:val="009471F5"/>
    <w:rsid w:val="0094745E"/>
    <w:rsid w:val="00962BB3"/>
    <w:rsid w:val="00963347"/>
    <w:rsid w:val="00972E17"/>
    <w:rsid w:val="009920AB"/>
    <w:rsid w:val="00997CE8"/>
    <w:rsid w:val="009B6EC6"/>
    <w:rsid w:val="009C4E95"/>
    <w:rsid w:val="009D5F59"/>
    <w:rsid w:val="009E0085"/>
    <w:rsid w:val="009F188B"/>
    <w:rsid w:val="00A04A3B"/>
    <w:rsid w:val="00A13B23"/>
    <w:rsid w:val="00A5143F"/>
    <w:rsid w:val="00A62EC3"/>
    <w:rsid w:val="00A70557"/>
    <w:rsid w:val="00A74589"/>
    <w:rsid w:val="00A978AD"/>
    <w:rsid w:val="00AE052E"/>
    <w:rsid w:val="00B35CC1"/>
    <w:rsid w:val="00B47923"/>
    <w:rsid w:val="00B5691D"/>
    <w:rsid w:val="00B574BB"/>
    <w:rsid w:val="00B750CA"/>
    <w:rsid w:val="00B77AEF"/>
    <w:rsid w:val="00BC7431"/>
    <w:rsid w:val="00BF1FDA"/>
    <w:rsid w:val="00BF7C95"/>
    <w:rsid w:val="00C03E15"/>
    <w:rsid w:val="00C05C82"/>
    <w:rsid w:val="00C1328D"/>
    <w:rsid w:val="00C45433"/>
    <w:rsid w:val="00C4550B"/>
    <w:rsid w:val="00C778E2"/>
    <w:rsid w:val="00CB2028"/>
    <w:rsid w:val="00CC3EBF"/>
    <w:rsid w:val="00CC42EA"/>
    <w:rsid w:val="00CD5CAE"/>
    <w:rsid w:val="00CF38B4"/>
    <w:rsid w:val="00D80079"/>
    <w:rsid w:val="00D81A3F"/>
    <w:rsid w:val="00DC3E6C"/>
    <w:rsid w:val="00DF63BA"/>
    <w:rsid w:val="00E062BA"/>
    <w:rsid w:val="00E43F8A"/>
    <w:rsid w:val="00E8318C"/>
    <w:rsid w:val="00E870CC"/>
    <w:rsid w:val="00E90A19"/>
    <w:rsid w:val="00EC3FA6"/>
    <w:rsid w:val="00F54E7F"/>
    <w:rsid w:val="00F7205D"/>
    <w:rsid w:val="00F74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BFBC"/>
  <w15:docId w15:val="{7F0140D8-FABC-4276-BFDC-C520AEF4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972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2BB3"/>
    <w:pPr>
      <w:tabs>
        <w:tab w:val="center" w:pos="4536"/>
        <w:tab w:val="right" w:pos="9072"/>
      </w:tabs>
      <w:spacing w:after="0" w:line="240" w:lineRule="auto"/>
    </w:pPr>
  </w:style>
  <w:style w:type="character" w:customStyle="1" w:styleId="En-tteCar">
    <w:name w:val="En-tête Car"/>
    <w:basedOn w:val="Policepardfaut"/>
    <w:link w:val="En-tte"/>
    <w:uiPriority w:val="99"/>
    <w:rsid w:val="00962BB3"/>
  </w:style>
  <w:style w:type="paragraph" w:styleId="Pieddepage">
    <w:name w:val="footer"/>
    <w:basedOn w:val="Normal"/>
    <w:link w:val="PieddepageCar"/>
    <w:uiPriority w:val="99"/>
    <w:unhideWhenUsed/>
    <w:rsid w:val="00962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BB3"/>
  </w:style>
  <w:style w:type="paragraph" w:styleId="Paragraphedeliste">
    <w:name w:val="List Paragraph"/>
    <w:basedOn w:val="Normal"/>
    <w:uiPriority w:val="34"/>
    <w:qFormat/>
    <w:rsid w:val="001E7A69"/>
    <w:pPr>
      <w:ind w:left="720"/>
      <w:contextualSpacing/>
    </w:pPr>
  </w:style>
  <w:style w:type="character" w:customStyle="1" w:styleId="Titre2Car">
    <w:name w:val="Titre 2 Car"/>
    <w:basedOn w:val="Policepardfaut"/>
    <w:link w:val="Titre2"/>
    <w:uiPriority w:val="9"/>
    <w:rsid w:val="00972E17"/>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0640D6"/>
    <w:pPr>
      <w:spacing w:after="0" w:line="240" w:lineRule="auto"/>
    </w:pPr>
  </w:style>
  <w:style w:type="character" w:styleId="Lienhypertexte">
    <w:name w:val="Hyperlink"/>
    <w:basedOn w:val="Policepardfaut"/>
    <w:uiPriority w:val="99"/>
    <w:unhideWhenUsed/>
    <w:rsid w:val="00E870CC"/>
    <w:rPr>
      <w:color w:val="0000FF" w:themeColor="hyperlink"/>
      <w:u w:val="single"/>
    </w:rPr>
  </w:style>
  <w:style w:type="paragraph" w:styleId="Textedebulles">
    <w:name w:val="Balloon Text"/>
    <w:basedOn w:val="Normal"/>
    <w:link w:val="TextedebullesCar"/>
    <w:uiPriority w:val="99"/>
    <w:semiHidden/>
    <w:unhideWhenUsed/>
    <w:rsid w:val="004D6B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B7F"/>
    <w:rPr>
      <w:rFonts w:ascii="Segoe UI" w:hAnsi="Segoe UI" w:cs="Segoe UI"/>
      <w:sz w:val="18"/>
      <w:szCs w:val="18"/>
    </w:rPr>
  </w:style>
  <w:style w:type="character" w:styleId="Marquedecommentaire">
    <w:name w:val="annotation reference"/>
    <w:basedOn w:val="Policepardfaut"/>
    <w:uiPriority w:val="99"/>
    <w:semiHidden/>
    <w:unhideWhenUsed/>
    <w:rsid w:val="00317EE3"/>
    <w:rPr>
      <w:sz w:val="16"/>
      <w:szCs w:val="16"/>
    </w:rPr>
  </w:style>
  <w:style w:type="paragraph" w:styleId="Commentaire">
    <w:name w:val="annotation text"/>
    <w:basedOn w:val="Normal"/>
    <w:link w:val="CommentaireCar"/>
    <w:uiPriority w:val="99"/>
    <w:unhideWhenUsed/>
    <w:rsid w:val="00317EE3"/>
    <w:pPr>
      <w:spacing w:line="240" w:lineRule="auto"/>
    </w:pPr>
    <w:rPr>
      <w:sz w:val="20"/>
      <w:szCs w:val="20"/>
    </w:rPr>
  </w:style>
  <w:style w:type="character" w:customStyle="1" w:styleId="CommentaireCar">
    <w:name w:val="Commentaire Car"/>
    <w:basedOn w:val="Policepardfaut"/>
    <w:link w:val="Commentaire"/>
    <w:uiPriority w:val="99"/>
    <w:qFormat/>
    <w:rsid w:val="00317EE3"/>
    <w:rPr>
      <w:sz w:val="20"/>
      <w:szCs w:val="20"/>
    </w:rPr>
  </w:style>
  <w:style w:type="paragraph" w:styleId="Objetducommentaire">
    <w:name w:val="annotation subject"/>
    <w:basedOn w:val="Commentaire"/>
    <w:next w:val="Commentaire"/>
    <w:link w:val="ObjetducommentaireCar"/>
    <w:uiPriority w:val="99"/>
    <w:semiHidden/>
    <w:unhideWhenUsed/>
    <w:rsid w:val="00317EE3"/>
    <w:rPr>
      <w:b/>
      <w:bCs/>
    </w:rPr>
  </w:style>
  <w:style w:type="character" w:customStyle="1" w:styleId="ObjetducommentaireCar">
    <w:name w:val="Objet du commentaire Car"/>
    <w:basedOn w:val="CommentaireCar"/>
    <w:link w:val="Objetducommentaire"/>
    <w:uiPriority w:val="99"/>
    <w:semiHidden/>
    <w:rsid w:val="00317EE3"/>
    <w:rPr>
      <w:b/>
      <w:bCs/>
      <w:sz w:val="20"/>
      <w:szCs w:val="20"/>
    </w:rPr>
  </w:style>
  <w:style w:type="table" w:styleId="Grilledutableau">
    <w:name w:val="Table Grid"/>
    <w:basedOn w:val="TableauNormal"/>
    <w:uiPriority w:val="59"/>
    <w:rsid w:val="006D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E062BA"/>
  </w:style>
  <w:style w:type="paragraph" w:styleId="Textebrut">
    <w:name w:val="Plain Text"/>
    <w:basedOn w:val="Normal"/>
    <w:link w:val="TextebrutCar"/>
    <w:uiPriority w:val="99"/>
    <w:unhideWhenUsed/>
    <w:rsid w:val="006A5D38"/>
    <w:pPr>
      <w:spacing w:after="0" w:line="240" w:lineRule="auto"/>
    </w:pPr>
    <w:rPr>
      <w:rFonts w:ascii="Calibri" w:eastAsia="Calibri" w:hAnsi="Calibri" w:cs="Calibri"/>
      <w:b/>
      <w:color w:val="1F497D"/>
    </w:rPr>
  </w:style>
  <w:style w:type="character" w:customStyle="1" w:styleId="TextebrutCar">
    <w:name w:val="Texte brut Car"/>
    <w:basedOn w:val="Policepardfaut"/>
    <w:link w:val="Textebrut"/>
    <w:uiPriority w:val="99"/>
    <w:rsid w:val="006A5D38"/>
    <w:rPr>
      <w:rFonts w:ascii="Calibri" w:eastAsia="Calibri" w:hAnsi="Calibri" w:cs="Calibri"/>
      <w:b/>
      <w:color w:val="1F497D"/>
    </w:rPr>
  </w:style>
  <w:style w:type="table" w:customStyle="1" w:styleId="TableGrid">
    <w:name w:val="TableGrid"/>
    <w:qFormat/>
    <w:rsid w:val="00185696"/>
    <w:pPr>
      <w:spacing w:after="0" w:line="240" w:lineRule="auto"/>
    </w:pPr>
    <w:rPr>
      <w:rFonts w:eastAsiaTheme="minorEastAsia"/>
      <w:sz w:val="20"/>
      <w:szCs w:val="20"/>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CS-PROTECTION-ENFANCE@social.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marches-simplifiees.fr/commencer/appel-a-projets-2021-sur-l-accompagnement-et-le-soutien-scolaire-des-enfants-et-des-jeunes-confies-aux-services-departementaux-de-l-aide-sociale-a-l-enfance" TargetMode="External"/><Relationship Id="rId4" Type="http://schemas.openxmlformats.org/officeDocument/2006/relationships/settings" Target="settings.xml"/><Relationship Id="rId9" Type="http://schemas.openxmlformats.org/officeDocument/2006/relationships/hyperlink" Target="mailto:DGCS-PROTECTION-ENFANCE@social.gouv.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1B85-61F0-42FA-BA9B-6C7C7FD6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1519</Words>
  <Characters>8357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N'DOYE, Dieynaba (DGCS/SERVICE DES POLITIQUES SOCIALES ET MEDICO SOCIALES/2EME SOU)</dc:creator>
  <cp:lastModifiedBy>DELPEYROU, Marie-Christine (DGCS/SERVICE DES POLITIQUES SOCIALES ET MEDICO SOCIALES/2EME SOU)</cp:lastModifiedBy>
  <cp:revision>3</cp:revision>
  <dcterms:created xsi:type="dcterms:W3CDTF">2021-08-03T15:33:00Z</dcterms:created>
  <dcterms:modified xsi:type="dcterms:W3CDTF">2021-08-03T16:23:00Z</dcterms:modified>
</cp:coreProperties>
</file>