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6416B7">
      <w:pPr>
        <w:spacing w:after="0" w:line="259" w:lineRule="auto"/>
        <w:ind w:left="0" w:firstLine="0"/>
        <w:jc w:val="right"/>
      </w:pPr>
      <w:r>
        <w:t>Paris, le 2</w:t>
      </w:r>
      <w:r w:rsidR="00176730">
        <w:t>6</w:t>
      </w:r>
      <w:r w:rsidR="00702284">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28115A">
      <w:pPr>
        <w:pStyle w:val="Titre1"/>
        <w:ind w:right="57"/>
      </w:pPr>
      <w:r>
        <w:t>Au 2</w:t>
      </w:r>
      <w:r w:rsidR="00176730">
        <w:t>6</w:t>
      </w:r>
      <w:r w:rsidR="00AA4497">
        <w:t xml:space="preserve"> mai </w:t>
      </w:r>
      <w:r w:rsidR="00AA4497" w:rsidRPr="00FA7FAC">
        <w:t xml:space="preserve">2021, </w:t>
      </w:r>
      <w:r w:rsidR="00D0399C" w:rsidRPr="00FA7FAC">
        <w:t>plus</w:t>
      </w:r>
      <w:r w:rsidR="00702284" w:rsidRPr="00FA7FAC">
        <w:t xml:space="preserve"> de </w:t>
      </w:r>
      <w:r w:rsidR="00FA7FAC" w:rsidRPr="00FA7FAC">
        <w:t>34</w:t>
      </w:r>
      <w:r w:rsidR="00702284" w:rsidRPr="00FA7FAC">
        <w:t> </w:t>
      </w:r>
      <w:r w:rsidR="00FA7FAC" w:rsidRPr="00FA7FAC">
        <w:t>2</w:t>
      </w:r>
      <w:r w:rsidR="00D0399C" w:rsidRPr="00FA7FAC">
        <w:t>00</w:t>
      </w:r>
      <w:r w:rsidR="009B0CF3" w:rsidRPr="00FA7FAC">
        <w:t> </w:t>
      </w:r>
      <w:r w:rsidR="008B505B" w:rsidRPr="00FA7FAC">
        <w:t>0</w:t>
      </w:r>
      <w:r w:rsidR="00702284" w:rsidRPr="00FA7FAC">
        <w:t>0</w:t>
      </w:r>
      <w:r w:rsidR="0048107C" w:rsidRPr="00FA7FAC">
        <w:t>0</w:t>
      </w:r>
      <w:r w:rsidR="009B0CF3" w:rsidRPr="00FA7FAC">
        <w:t xml:space="preserve"> </w:t>
      </w:r>
      <w:r w:rsidR="00756583" w:rsidRPr="00FA7FAC">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bookmarkStart w:id="0" w:name="_GoBack"/>
      <w:bookmarkEnd w:id="0"/>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Depuis le début de la campagne de vaccination en France,</w:t>
      </w:r>
      <w:r w:rsidR="00C36DEC">
        <w:t xml:space="preserve"> </w:t>
      </w:r>
      <w:r w:rsidR="00FA7FAC" w:rsidRPr="00FA7FAC">
        <w:rPr>
          <w:color w:val="auto"/>
        </w:rPr>
        <w:t>24 098 326</w:t>
      </w:r>
      <w:r w:rsidR="009B0CF3">
        <w:rPr>
          <w:color w:val="auto"/>
        </w:rPr>
        <w:t xml:space="preserve"> </w:t>
      </w:r>
      <w:r w:rsidRPr="00634F89">
        <w:t>personnes ont reçu a</w:t>
      </w:r>
      <w:r w:rsidR="00AA4497" w:rsidRPr="00634F89">
        <w:t xml:space="preserve">u moins une injection </w:t>
      </w:r>
      <w:r w:rsidR="00AA4497" w:rsidRPr="00376207">
        <w:t>(</w:t>
      </w:r>
      <w:r w:rsidR="00AA4497" w:rsidRPr="00FA7FAC">
        <w:t xml:space="preserve">soit </w:t>
      </w:r>
      <w:r w:rsidR="00FA7FAC" w:rsidRPr="00FA7FAC">
        <w:t>36,0</w:t>
      </w:r>
      <w:r w:rsidRPr="00FA7FAC">
        <w:t>%</w:t>
      </w:r>
      <w:r w:rsidR="00AA4497" w:rsidRPr="00FA7FAC">
        <w:t xml:space="preserve"> de la population totale et </w:t>
      </w:r>
      <w:r w:rsidR="00FA7FAC" w:rsidRPr="00FA7FAC">
        <w:t>45,9</w:t>
      </w:r>
      <w:r w:rsidRPr="00FA7FAC">
        <w:t>% de la</w:t>
      </w:r>
      <w:r w:rsidRPr="009B0CF3">
        <w:t xml:space="preserve"> population majeure) et </w:t>
      </w:r>
      <w:r w:rsidR="00FA7FAC" w:rsidRPr="00FA7FAC">
        <w:rPr>
          <w:color w:val="auto"/>
        </w:rPr>
        <w:t>10 102</w:t>
      </w:r>
      <w:r w:rsidR="00FA7FAC">
        <w:rPr>
          <w:color w:val="auto"/>
        </w:rPr>
        <w:t> </w:t>
      </w:r>
      <w:r w:rsidR="00FA7FAC" w:rsidRPr="00FA7FAC">
        <w:rPr>
          <w:color w:val="auto"/>
        </w:rPr>
        <w:t>350</w:t>
      </w:r>
      <w:r w:rsidR="00FA7FAC">
        <w:rPr>
          <w:color w:val="auto"/>
        </w:rPr>
        <w:t xml:space="preserve"> </w:t>
      </w:r>
      <w:r w:rsidRPr="009B0CF3">
        <w:t>personnes ont</w:t>
      </w:r>
      <w:r w:rsidR="00AA4497" w:rsidRPr="009B0CF3">
        <w:t xml:space="preserve"> reçu deux injections (</w:t>
      </w:r>
      <w:r w:rsidR="00C36DEC" w:rsidRPr="009B0CF3">
        <w:t xml:space="preserve">soit </w:t>
      </w:r>
      <w:r w:rsidR="00FA7FAC" w:rsidRPr="00FA7FAC">
        <w:t>15,1</w:t>
      </w:r>
      <w:r w:rsidRPr="00FA7FAC">
        <w:t>%</w:t>
      </w:r>
      <w:r w:rsidR="00AA4497" w:rsidRPr="00FA7FAC">
        <w:t xml:space="preserve"> de la population totale et </w:t>
      </w:r>
      <w:r w:rsidR="00FA7FAC" w:rsidRPr="00FA7FAC">
        <w:t>19,2</w:t>
      </w:r>
      <w:r w:rsidRPr="00D0399C">
        <w:t>%</w:t>
      </w:r>
      <w:r w:rsidRPr="00B83757">
        <w:t xml:space="preserve">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FA7FA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FA7FAC" w:rsidRDefault="00FA7FAC" w:rsidP="00FA7FAC">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ind w:firstLine="220"/>
              <w:jc w:val="right"/>
              <w:rPr>
                <w:rFonts w:eastAsiaTheme="minorHAnsi"/>
                <w:color w:val="auto"/>
              </w:rPr>
            </w:pPr>
            <w:r w:rsidRPr="00FA7FAC">
              <w:rPr>
                <w:color w:val="auto"/>
              </w:rPr>
              <w:t xml:space="preserve">384 647 </w:t>
            </w:r>
          </w:p>
        </w:tc>
        <w:tc>
          <w:tcPr>
            <w:tcW w:w="2410" w:type="dxa"/>
            <w:tcBorders>
              <w:top w:val="single" w:sz="4" w:space="0" w:color="000000"/>
              <w:left w:val="single" w:sz="4" w:space="0" w:color="000000"/>
              <w:bottom w:val="single" w:sz="4" w:space="0" w:color="000000"/>
              <w:right w:val="single" w:sz="4" w:space="0" w:color="000000"/>
            </w:tcBorders>
            <w:vAlign w:val="bottom"/>
          </w:tcPr>
          <w:p w:rsidR="00FA7FAC" w:rsidRPr="00FA7FAC" w:rsidRDefault="00FA7FAC" w:rsidP="00FA7FAC">
            <w:pPr>
              <w:jc w:val="right"/>
              <w:rPr>
                <w:color w:val="auto"/>
              </w:rPr>
            </w:pPr>
            <w:r w:rsidRPr="00FA7FAC">
              <w:rPr>
                <w:color w:val="auto"/>
              </w:rPr>
              <w:t>8 473 183</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jc w:val="right"/>
              <w:rPr>
                <w:color w:val="auto"/>
              </w:rPr>
            </w:pPr>
            <w:r w:rsidRPr="00FA7FAC">
              <w:rPr>
                <w:color w:val="auto"/>
              </w:rPr>
              <w:t xml:space="preserve">24 098 326 </w:t>
            </w:r>
          </w:p>
        </w:tc>
      </w:tr>
      <w:tr w:rsidR="00FA7FA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FA7FAC" w:rsidRDefault="00FA7FAC" w:rsidP="00FA7FAC">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ind w:firstLine="220"/>
              <w:jc w:val="right"/>
              <w:rPr>
                <w:color w:val="auto"/>
              </w:rPr>
            </w:pPr>
            <w:r w:rsidRPr="00FA7FAC">
              <w:rPr>
                <w:color w:val="auto"/>
              </w:rPr>
              <w:t xml:space="preserve">187 817 </w:t>
            </w:r>
          </w:p>
        </w:tc>
        <w:tc>
          <w:tcPr>
            <w:tcW w:w="2410" w:type="dxa"/>
            <w:tcBorders>
              <w:top w:val="single" w:sz="4" w:space="0" w:color="000000"/>
              <w:left w:val="single" w:sz="4" w:space="0" w:color="000000"/>
              <w:bottom w:val="single" w:sz="4" w:space="0" w:color="000000"/>
              <w:right w:val="single" w:sz="4" w:space="0" w:color="000000"/>
            </w:tcBorders>
            <w:vAlign w:val="bottom"/>
          </w:tcPr>
          <w:p w:rsidR="00FA7FAC" w:rsidRPr="00FA7FAC" w:rsidRDefault="00FA7FAC" w:rsidP="00FA7FAC">
            <w:pPr>
              <w:jc w:val="right"/>
              <w:rPr>
                <w:color w:val="auto"/>
              </w:rPr>
            </w:pPr>
            <w:r w:rsidRPr="00FA7FAC">
              <w:rPr>
                <w:color w:val="auto"/>
              </w:rPr>
              <w:t>3 690 508</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jc w:val="right"/>
              <w:rPr>
                <w:color w:val="auto"/>
              </w:rPr>
            </w:pPr>
            <w:r w:rsidRPr="00FA7FAC">
              <w:rPr>
                <w:color w:val="auto"/>
              </w:rPr>
              <w:t xml:space="preserve">10 102 350 </w:t>
            </w:r>
          </w:p>
        </w:tc>
      </w:tr>
      <w:tr w:rsidR="00FA7FAC" w:rsidTr="00AE2944">
        <w:trPr>
          <w:trHeight w:val="278"/>
        </w:trPr>
        <w:tc>
          <w:tcPr>
            <w:tcW w:w="1838" w:type="dxa"/>
            <w:tcBorders>
              <w:top w:val="single" w:sz="4" w:space="0" w:color="000000"/>
              <w:left w:val="single" w:sz="4" w:space="0" w:color="000000"/>
              <w:bottom w:val="single" w:sz="4" w:space="0" w:color="000000"/>
              <w:right w:val="single" w:sz="4" w:space="0" w:color="000000"/>
            </w:tcBorders>
          </w:tcPr>
          <w:p w:rsidR="00FA7FAC" w:rsidRDefault="00FA7FAC" w:rsidP="00FA7FAC">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jc w:val="right"/>
              <w:rPr>
                <w:b/>
                <w:bCs/>
                <w:color w:val="auto"/>
              </w:rPr>
            </w:pPr>
            <w:r w:rsidRPr="00FA7FAC">
              <w:rPr>
                <w:b/>
                <w:bCs/>
                <w:color w:val="auto"/>
              </w:rPr>
              <w:t xml:space="preserve">                572 464 </w:t>
            </w:r>
          </w:p>
        </w:tc>
        <w:tc>
          <w:tcPr>
            <w:tcW w:w="2410" w:type="dxa"/>
            <w:tcBorders>
              <w:top w:val="single" w:sz="4" w:space="0" w:color="000000"/>
              <w:left w:val="single" w:sz="4" w:space="0" w:color="000000"/>
              <w:bottom w:val="single" w:sz="4" w:space="0" w:color="000000"/>
              <w:right w:val="single" w:sz="4" w:space="0" w:color="000000"/>
            </w:tcBorders>
            <w:vAlign w:val="bottom"/>
          </w:tcPr>
          <w:p w:rsidR="00FA7FAC" w:rsidRPr="00FA7FAC" w:rsidRDefault="00FA7FAC" w:rsidP="00FA7FAC">
            <w:pPr>
              <w:jc w:val="right"/>
              <w:rPr>
                <w:b/>
                <w:color w:val="auto"/>
              </w:rPr>
            </w:pPr>
            <w:r w:rsidRPr="00FA7FAC">
              <w:rPr>
                <w:b/>
                <w:color w:val="auto"/>
              </w:rPr>
              <w:t>12 163 691</w:t>
            </w:r>
          </w:p>
        </w:tc>
        <w:tc>
          <w:tcPr>
            <w:tcW w:w="2408" w:type="dxa"/>
            <w:tcBorders>
              <w:top w:val="single" w:sz="4" w:space="0" w:color="000000"/>
              <w:left w:val="single" w:sz="4" w:space="0" w:color="000000"/>
              <w:bottom w:val="single" w:sz="4" w:space="0" w:color="000000"/>
              <w:right w:val="single" w:sz="4" w:space="0" w:color="000000"/>
            </w:tcBorders>
            <w:vAlign w:val="center"/>
          </w:tcPr>
          <w:p w:rsidR="00FA7FAC" w:rsidRPr="00FA7FAC" w:rsidRDefault="00FA7FAC" w:rsidP="00FA7FAC">
            <w:pPr>
              <w:jc w:val="right"/>
              <w:rPr>
                <w:b/>
                <w:color w:val="auto"/>
              </w:rPr>
            </w:pPr>
            <w:r w:rsidRPr="00FA7FAC">
              <w:rPr>
                <w:b/>
                <w:color w:val="auto"/>
              </w:rPr>
              <w:t>          34 200 676</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w:t>
      </w:r>
      <w:r w:rsidR="008A3CF5">
        <w:rPr>
          <w:sz w:val="21"/>
          <w:szCs w:val="21"/>
        </w:rPr>
        <w:t>professionnels ci-dessous (~23,6</w:t>
      </w:r>
      <w:r w:rsidRPr="00670EFE">
        <w:rPr>
          <w:sz w:val="21"/>
          <w:szCs w:val="21"/>
        </w:rPr>
        <w:t xml:space="preserve">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Default="00C732C7" w:rsidP="00C732C7">
      <w:pPr>
        <w:numPr>
          <w:ilvl w:val="1"/>
          <w:numId w:val="3"/>
        </w:numPr>
        <w:spacing w:line="252" w:lineRule="auto"/>
        <w:ind w:right="187"/>
        <w:rPr>
          <w:sz w:val="21"/>
          <w:szCs w:val="21"/>
        </w:rPr>
      </w:pPr>
      <w:r w:rsidRPr="00670EFE">
        <w:rPr>
          <w:sz w:val="21"/>
          <w:szCs w:val="21"/>
        </w:rPr>
        <w:lastRenderedPageBreak/>
        <w:t>Les proches à partir de 16 ans (à savoir les personnes vivant sous le même toit ou apportant une aide dans la vie quotidienne) de personnes, adulte ou enfant, immunodéprimé</w:t>
      </w:r>
      <w:r w:rsidR="00B71D4E">
        <w:rPr>
          <w:sz w:val="21"/>
          <w:szCs w:val="21"/>
        </w:rPr>
        <w:t xml:space="preserve">es (~0,7 million de personnes) ; </w:t>
      </w:r>
    </w:p>
    <w:p w:rsidR="00B71D4E" w:rsidRPr="00670EFE" w:rsidRDefault="00B71D4E" w:rsidP="00C732C7">
      <w:pPr>
        <w:numPr>
          <w:ilvl w:val="1"/>
          <w:numId w:val="3"/>
        </w:numPr>
        <w:spacing w:line="252" w:lineRule="auto"/>
        <w:ind w:right="187"/>
        <w:rPr>
          <w:sz w:val="21"/>
          <w:szCs w:val="21"/>
        </w:rPr>
      </w:pPr>
      <w:r>
        <w:rPr>
          <w:sz w:val="21"/>
          <w:szCs w:val="21"/>
        </w:rPr>
        <w:t>Les professions les plus exposées au virus</w:t>
      </w:r>
      <w:r w:rsidR="007C2E3F" w:rsidRPr="00670EFE">
        <w:rPr>
          <w:sz w:val="21"/>
          <w:szCs w:val="21"/>
        </w:rPr>
        <w:t>*</w:t>
      </w:r>
      <w:r>
        <w:rPr>
          <w:sz w:val="21"/>
          <w:szCs w:val="21"/>
        </w:rPr>
        <w:t xml:space="preserve"> (</w:t>
      </w:r>
      <w:r w:rsidRPr="00670EFE">
        <w:rPr>
          <w:sz w:val="21"/>
          <w:szCs w:val="21"/>
        </w:rPr>
        <w:t>~</w:t>
      </w:r>
      <w:r w:rsidR="008A3CF5">
        <w:rPr>
          <w:sz w:val="21"/>
          <w:szCs w:val="21"/>
        </w:rPr>
        <w:t>6,3</w:t>
      </w:r>
      <w:r>
        <w:rPr>
          <w:sz w:val="21"/>
          <w:szCs w:val="21"/>
        </w:rPr>
        <w:t xml:space="preserve"> millions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listes disponibles sur</w:t>
      </w:r>
      <w:r w:rsidR="00B71D4E">
        <w:rPr>
          <w:i/>
          <w:sz w:val="21"/>
          <w:szCs w:val="21"/>
        </w:rPr>
        <w:t xml:space="preserve"> </w:t>
      </w:r>
      <w:hyperlink r:id="rId9" w:anchor="liste-prio" w:history="1">
        <w:r w:rsidR="00B71D4E" w:rsidRPr="00B71D4E">
          <w:rPr>
            <w:rStyle w:val="Lienhypertexte"/>
            <w:i/>
            <w:sz w:val="21"/>
            <w:szCs w:val="21"/>
          </w:rPr>
          <w:t>solidarites-sante.gouv.fr/grands-dossiers/vaccin-covid-19/publics-prioritaires-vaccin-covid-19#liste-prio</w:t>
        </w:r>
      </w:hyperlink>
      <w:r w:rsidR="00B71D4E" w:rsidRPr="00B71D4E">
        <w:rPr>
          <w:i/>
          <w:sz w:val="21"/>
          <w:szCs w:val="21"/>
        </w:rPr>
        <w:t xml:space="preserve"> </w:t>
      </w:r>
      <w:r w:rsidR="0082563E" w:rsidRPr="00B71D4E">
        <w:rPr>
          <w:i/>
          <w:sz w:val="21"/>
          <w:szCs w:val="21"/>
        </w:rPr>
        <w:t xml:space="preserve"> </w:t>
      </w:r>
      <w:r w:rsidRPr="00B71D4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w:t>
      </w:r>
      <w:r w:rsidR="00954054">
        <w:rPr>
          <w:sz w:val="21"/>
          <w:szCs w:val="21"/>
        </w:rPr>
        <w:t>coupe-file dédié : depuis le 31 mars</w:t>
      </w:r>
      <w:r w:rsidRPr="00670EFE">
        <w:rPr>
          <w:sz w:val="21"/>
          <w:szCs w:val="21"/>
        </w:rPr>
        <w:t xml:space="preserve">, ce numéro est indiqué dans un SMS envoyé par l’Assurance maladie aux personnes de 75 ans et plus non vaccinées. </w:t>
      </w:r>
    </w:p>
    <w:p w:rsidR="00427386" w:rsidRPr="00670EFE" w:rsidRDefault="00756583" w:rsidP="00FA319D">
      <w:pPr>
        <w:spacing w:after="0" w:line="259" w:lineRule="auto"/>
        <w:ind w:left="195" w:right="0" w:firstLine="0"/>
        <w:jc w:val="left"/>
        <w:rPr>
          <w:sz w:val="21"/>
          <w:szCs w:val="21"/>
        </w:rPr>
      </w:pPr>
      <w:r w:rsidRPr="00670EFE">
        <w:rPr>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Default="00FA319D" w:rsidP="000C7A4A">
      <w:pPr>
        <w:ind w:left="195" w:right="187" w:firstLine="0"/>
        <w:rPr>
          <w:sz w:val="21"/>
          <w:szCs w:val="21"/>
        </w:rPr>
      </w:pPr>
      <w:r>
        <w:rPr>
          <w:sz w:val="21"/>
          <w:szCs w:val="21"/>
        </w:rPr>
        <w:t>Par ailleurs, i</w:t>
      </w:r>
      <w:r w:rsidR="000C7A4A" w:rsidRPr="00670EFE">
        <w:rPr>
          <w:sz w:val="21"/>
          <w:szCs w:val="21"/>
        </w:rPr>
        <w:t xml:space="preserve">l est possible </w:t>
      </w:r>
      <w:r w:rsidR="006E2025" w:rsidRPr="00670EFE">
        <w:rPr>
          <w:sz w:val="21"/>
          <w:szCs w:val="21"/>
        </w:rPr>
        <w:t>depuis le 11 mai</w:t>
      </w:r>
      <w:r w:rsidR="000C7A4A"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A319D" w:rsidRDefault="00FA319D" w:rsidP="000C7A4A">
      <w:pPr>
        <w:ind w:left="195" w:right="187" w:firstLine="0"/>
        <w:rPr>
          <w:sz w:val="21"/>
          <w:szCs w:val="21"/>
        </w:rPr>
      </w:pPr>
    </w:p>
    <w:p w:rsidR="00FA319D" w:rsidRPr="00FA319D" w:rsidRDefault="003E5FCF" w:rsidP="00FA319D">
      <w:pPr>
        <w:ind w:left="195" w:right="187" w:firstLine="0"/>
        <w:rPr>
          <w:sz w:val="21"/>
          <w:szCs w:val="21"/>
        </w:rPr>
      </w:pPr>
      <w:r w:rsidRPr="0083168C">
        <w:rPr>
          <w:sz w:val="21"/>
          <w:szCs w:val="21"/>
        </w:rPr>
        <w:t>La</w:t>
      </w:r>
      <w:r w:rsidR="00FA319D" w:rsidRPr="0083168C">
        <w:rPr>
          <w:sz w:val="21"/>
          <w:szCs w:val="21"/>
        </w:rPr>
        <w:t xml:space="preserve"> vaccination </w:t>
      </w:r>
      <w:r w:rsidRPr="0083168C">
        <w:rPr>
          <w:sz w:val="21"/>
          <w:szCs w:val="21"/>
        </w:rPr>
        <w:t xml:space="preserve">sera ouverte </w:t>
      </w:r>
      <w:r w:rsidR="00FA319D" w:rsidRPr="0083168C">
        <w:rPr>
          <w:sz w:val="21"/>
          <w:szCs w:val="21"/>
        </w:rPr>
        <w:t xml:space="preserve">à tous les Français de plus de 18 ans </w:t>
      </w:r>
      <w:r w:rsidRPr="0083168C">
        <w:rPr>
          <w:sz w:val="21"/>
          <w:szCs w:val="21"/>
        </w:rPr>
        <w:t xml:space="preserve">à partir </w:t>
      </w:r>
      <w:r w:rsidR="0083168C" w:rsidRPr="0083168C">
        <w:rPr>
          <w:sz w:val="21"/>
          <w:szCs w:val="21"/>
        </w:rPr>
        <w:t>du 31</w:t>
      </w:r>
      <w:r w:rsidR="00FA319D" w:rsidRPr="0083168C">
        <w:rPr>
          <w:sz w:val="21"/>
          <w:szCs w:val="21"/>
        </w:rPr>
        <w:t xml:space="preserve"> mai. Cette ouverture sans critère d’âge est anticipée pour les professionnels considérés comme plus exposés au virus du fait de leur activité : depuis le 21 mai, ceux-ci peuvent </w:t>
      </w:r>
      <w:r w:rsidRPr="0083168C">
        <w:rPr>
          <w:sz w:val="21"/>
          <w:szCs w:val="21"/>
        </w:rPr>
        <w:t xml:space="preserve">ainsi </w:t>
      </w:r>
      <w:r w:rsidR="00FA319D" w:rsidRPr="0083168C">
        <w:rPr>
          <w:sz w:val="21"/>
          <w:szCs w:val="21"/>
        </w:rPr>
        <w:t xml:space="preserve">réserver un créneau de vaccination sur santé.fr ou </w:t>
      </w:r>
      <w:r w:rsidRPr="0083168C">
        <w:rPr>
          <w:sz w:val="21"/>
          <w:szCs w:val="21"/>
        </w:rPr>
        <w:t xml:space="preserve">sur </w:t>
      </w:r>
      <w:r w:rsidR="00FA319D" w:rsidRPr="0083168C">
        <w:rPr>
          <w:sz w:val="21"/>
          <w:szCs w:val="21"/>
        </w:rPr>
        <w:t xml:space="preserve">les sites de prise de rendez-vous en ligne, pour des injections qui ont démarré </w:t>
      </w:r>
      <w:r w:rsidR="006416B7">
        <w:rPr>
          <w:sz w:val="21"/>
          <w:szCs w:val="21"/>
        </w:rPr>
        <w:t>le 24 mai</w:t>
      </w:r>
      <w:r w:rsidR="00FA319D" w:rsidRPr="0083168C">
        <w:rPr>
          <w:sz w:val="21"/>
          <w:szCs w:val="21"/>
        </w:rPr>
        <w:t>.</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2"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1E6CEA" w:rsidP="00682596">
      <w:pPr>
        <w:pStyle w:val="Sansinterligne"/>
      </w:pPr>
      <w:r>
        <w:rPr>
          <w:noProof/>
        </w:rPr>
        <w:lastRenderedPageBreak/>
        <w:drawing>
          <wp:inline distT="0" distB="0" distL="0" distR="0">
            <wp:extent cx="6011545" cy="939292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g public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1E6CEA" w:rsidP="00682596">
      <w:pPr>
        <w:pStyle w:val="Sansinterligne"/>
      </w:pPr>
      <w:r>
        <w:rPr>
          <w:noProof/>
        </w:rPr>
        <w:lastRenderedPageBreak/>
        <w:drawing>
          <wp:inline distT="0" distB="0" distL="0" distR="0">
            <wp:extent cx="6011545" cy="499681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4996815"/>
                    </a:xfrm>
                    <a:prstGeom prst="rect">
                      <a:avLst/>
                    </a:prstGeom>
                  </pic:spPr>
                </pic:pic>
              </a:graphicData>
            </a:graphic>
          </wp:inline>
        </w:drawing>
      </w:r>
    </w:p>
    <w:p w:rsidR="0082563E" w:rsidRDefault="0082563E" w:rsidP="0082563E">
      <w:pPr>
        <w:spacing w:after="0" w:line="259" w:lineRule="auto"/>
        <w:ind w:left="1017" w:right="0" w:firstLine="0"/>
      </w:pPr>
    </w:p>
    <w:p w:rsidR="001E6CEA" w:rsidRDefault="001E6CEA"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59" w:rsidRDefault="00065459">
      <w:pPr>
        <w:spacing w:after="0" w:line="240" w:lineRule="auto"/>
      </w:pPr>
      <w:r>
        <w:separator/>
      </w:r>
    </w:p>
  </w:endnote>
  <w:endnote w:type="continuationSeparator" w:id="0">
    <w:p w:rsidR="00065459" w:rsidRDefault="000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59" w:rsidRDefault="00065459">
      <w:pPr>
        <w:spacing w:after="185" w:line="259" w:lineRule="auto"/>
        <w:ind w:left="195" w:right="0" w:firstLine="0"/>
        <w:jc w:val="left"/>
      </w:pPr>
      <w:r>
        <w:separator/>
      </w:r>
    </w:p>
  </w:footnote>
  <w:footnote w:type="continuationSeparator" w:id="0">
    <w:p w:rsidR="00065459" w:rsidRDefault="00065459">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521CD"/>
    <w:rsid w:val="00065459"/>
    <w:rsid w:val="000758A8"/>
    <w:rsid w:val="000A175F"/>
    <w:rsid w:val="000C1B4D"/>
    <w:rsid w:val="000C5A18"/>
    <w:rsid w:val="000C7A4A"/>
    <w:rsid w:val="00104566"/>
    <w:rsid w:val="00105C34"/>
    <w:rsid w:val="00136428"/>
    <w:rsid w:val="001375CB"/>
    <w:rsid w:val="00151226"/>
    <w:rsid w:val="00151846"/>
    <w:rsid w:val="001616E6"/>
    <w:rsid w:val="00161D75"/>
    <w:rsid w:val="001637F9"/>
    <w:rsid w:val="00176730"/>
    <w:rsid w:val="001A10B5"/>
    <w:rsid w:val="001B0E5E"/>
    <w:rsid w:val="001B1700"/>
    <w:rsid w:val="001D597C"/>
    <w:rsid w:val="001E6CEA"/>
    <w:rsid w:val="00214381"/>
    <w:rsid w:val="00253CFE"/>
    <w:rsid w:val="002716F5"/>
    <w:rsid w:val="0028115A"/>
    <w:rsid w:val="002A7C73"/>
    <w:rsid w:val="002C1B9B"/>
    <w:rsid w:val="003358B6"/>
    <w:rsid w:val="003617A8"/>
    <w:rsid w:val="003743E1"/>
    <w:rsid w:val="00376207"/>
    <w:rsid w:val="003E5FCF"/>
    <w:rsid w:val="003F55E7"/>
    <w:rsid w:val="00427386"/>
    <w:rsid w:val="00433598"/>
    <w:rsid w:val="00441963"/>
    <w:rsid w:val="004636C1"/>
    <w:rsid w:val="0048107C"/>
    <w:rsid w:val="00572975"/>
    <w:rsid w:val="005D5D5C"/>
    <w:rsid w:val="005E6523"/>
    <w:rsid w:val="00601F75"/>
    <w:rsid w:val="0061389C"/>
    <w:rsid w:val="00634F89"/>
    <w:rsid w:val="006362CA"/>
    <w:rsid w:val="006416B7"/>
    <w:rsid w:val="00670EFE"/>
    <w:rsid w:val="00682596"/>
    <w:rsid w:val="006E2025"/>
    <w:rsid w:val="006F5DAD"/>
    <w:rsid w:val="00702284"/>
    <w:rsid w:val="00716EB6"/>
    <w:rsid w:val="00721E59"/>
    <w:rsid w:val="0073233E"/>
    <w:rsid w:val="0073301B"/>
    <w:rsid w:val="00737FDF"/>
    <w:rsid w:val="00756583"/>
    <w:rsid w:val="00771844"/>
    <w:rsid w:val="007A00FF"/>
    <w:rsid w:val="007C2E3F"/>
    <w:rsid w:val="00810215"/>
    <w:rsid w:val="00822D24"/>
    <w:rsid w:val="0082563E"/>
    <w:rsid w:val="0083168C"/>
    <w:rsid w:val="0087605F"/>
    <w:rsid w:val="00876E32"/>
    <w:rsid w:val="0089307D"/>
    <w:rsid w:val="008A3CF5"/>
    <w:rsid w:val="008B505B"/>
    <w:rsid w:val="00942312"/>
    <w:rsid w:val="00954054"/>
    <w:rsid w:val="00962241"/>
    <w:rsid w:val="00964E7D"/>
    <w:rsid w:val="00972BA6"/>
    <w:rsid w:val="00980F3C"/>
    <w:rsid w:val="009B0CF3"/>
    <w:rsid w:val="009D4094"/>
    <w:rsid w:val="009E7076"/>
    <w:rsid w:val="00A21C24"/>
    <w:rsid w:val="00A832AD"/>
    <w:rsid w:val="00A8685D"/>
    <w:rsid w:val="00A95D0D"/>
    <w:rsid w:val="00AA4497"/>
    <w:rsid w:val="00B44D93"/>
    <w:rsid w:val="00B67B7F"/>
    <w:rsid w:val="00B71D4E"/>
    <w:rsid w:val="00B83757"/>
    <w:rsid w:val="00BC2D38"/>
    <w:rsid w:val="00C030C0"/>
    <w:rsid w:val="00C069C8"/>
    <w:rsid w:val="00C36DEC"/>
    <w:rsid w:val="00C458B7"/>
    <w:rsid w:val="00C72055"/>
    <w:rsid w:val="00C732C7"/>
    <w:rsid w:val="00CA753C"/>
    <w:rsid w:val="00CC7169"/>
    <w:rsid w:val="00CE28BE"/>
    <w:rsid w:val="00CE6E93"/>
    <w:rsid w:val="00CF4F59"/>
    <w:rsid w:val="00D0399C"/>
    <w:rsid w:val="00D0490E"/>
    <w:rsid w:val="00D21B20"/>
    <w:rsid w:val="00D532CD"/>
    <w:rsid w:val="00D91B9A"/>
    <w:rsid w:val="00DC71EC"/>
    <w:rsid w:val="00EF3CA4"/>
    <w:rsid w:val="00EF4DEF"/>
    <w:rsid w:val="00F5635B"/>
    <w:rsid w:val="00F626C6"/>
    <w:rsid w:val="00FA319D"/>
    <w:rsid w:val="00FA7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E335"/>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8</cp:revision>
  <cp:lastPrinted>2021-05-23T16:25:00Z</cp:lastPrinted>
  <dcterms:created xsi:type="dcterms:W3CDTF">2021-05-24T16:24:00Z</dcterms:created>
  <dcterms:modified xsi:type="dcterms:W3CDTF">2021-05-26T16:01:00Z</dcterms:modified>
</cp:coreProperties>
</file>