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6" w:rsidRDefault="00D57EB6" w:rsidP="00D57EB6">
      <w:pPr>
        <w:pStyle w:val="Default"/>
      </w:pPr>
    </w:p>
    <w:p w:rsidR="00D57EB6" w:rsidRDefault="00D57EB6" w:rsidP="00D57EB6">
      <w:pPr>
        <w:pStyle w:val="Default"/>
        <w:jc w:val="right"/>
      </w:pPr>
    </w:p>
    <w:p w:rsidR="00D57EB6" w:rsidRDefault="00D57EB6" w:rsidP="00D57EB6">
      <w:pPr>
        <w:pStyle w:val="Default"/>
        <w:jc w:val="right"/>
      </w:pPr>
    </w:p>
    <w:p w:rsidR="00D57EB6" w:rsidRDefault="00D57EB6" w:rsidP="00D57EB6">
      <w:pPr>
        <w:pStyle w:val="Default"/>
        <w:jc w:val="right"/>
      </w:pPr>
    </w:p>
    <w:p w:rsidR="00D57EB6" w:rsidRDefault="00D57EB6" w:rsidP="00D57EB6">
      <w:pPr>
        <w:pStyle w:val="Default"/>
        <w:jc w:val="right"/>
      </w:pPr>
    </w:p>
    <w:p w:rsidR="00D57EB6" w:rsidRDefault="00D57EB6" w:rsidP="00D57EB6">
      <w:pPr>
        <w:pStyle w:val="Default"/>
        <w:jc w:val="right"/>
      </w:pPr>
    </w:p>
    <w:p w:rsidR="00D57EB6" w:rsidRDefault="00D57EB6" w:rsidP="00D57EB6">
      <w:pPr>
        <w:pStyle w:val="Default"/>
        <w:jc w:val="right"/>
      </w:pPr>
    </w:p>
    <w:p w:rsidR="00D57EB6" w:rsidRDefault="00D57EB6" w:rsidP="00D57EB6">
      <w:pPr>
        <w:pStyle w:val="Default"/>
        <w:jc w:val="right"/>
      </w:pPr>
    </w:p>
    <w:p w:rsidR="00D57EB6" w:rsidRDefault="00D57EB6" w:rsidP="00D57EB6">
      <w:pPr>
        <w:pStyle w:val="Default"/>
        <w:jc w:val="right"/>
        <w:rPr>
          <w:sz w:val="22"/>
          <w:szCs w:val="22"/>
        </w:rPr>
      </w:pPr>
      <w:r>
        <w:t xml:space="preserve"> </w:t>
      </w:r>
      <w:r>
        <w:rPr>
          <w:sz w:val="22"/>
          <w:szCs w:val="22"/>
        </w:rPr>
        <w:t>Paris, le 2</w:t>
      </w:r>
      <w:r w:rsidR="00482861">
        <w:rPr>
          <w:sz w:val="22"/>
          <w:szCs w:val="22"/>
        </w:rPr>
        <w:t>5</w:t>
      </w:r>
      <w:bookmarkStart w:id="0" w:name="_GoBack"/>
      <w:bookmarkEnd w:id="0"/>
      <w:r>
        <w:rPr>
          <w:sz w:val="22"/>
          <w:szCs w:val="22"/>
        </w:rPr>
        <w:t xml:space="preserve"> avril 2022</w:t>
      </w:r>
    </w:p>
    <w:p w:rsidR="00D57EB6" w:rsidRDefault="00D57EB6" w:rsidP="00D57EB6">
      <w:pPr>
        <w:pStyle w:val="Default"/>
        <w:rPr>
          <w:sz w:val="22"/>
          <w:szCs w:val="22"/>
        </w:rPr>
      </w:pPr>
    </w:p>
    <w:p w:rsidR="00D57EB6" w:rsidRDefault="00D57EB6" w:rsidP="00D57EB6">
      <w:pPr>
        <w:pStyle w:val="Default"/>
        <w:jc w:val="center"/>
        <w:rPr>
          <w:sz w:val="28"/>
          <w:szCs w:val="28"/>
        </w:rPr>
      </w:pPr>
      <w:r>
        <w:rPr>
          <w:b/>
          <w:bCs/>
          <w:sz w:val="28"/>
          <w:szCs w:val="28"/>
        </w:rPr>
        <w:t>COMMUNIQUE DE PRESSE</w:t>
      </w:r>
    </w:p>
    <w:p w:rsidR="00D57EB6" w:rsidRDefault="00D57EB6" w:rsidP="00D57EB6">
      <w:pPr>
        <w:pStyle w:val="Default"/>
        <w:rPr>
          <w:b/>
          <w:bCs/>
          <w:sz w:val="28"/>
          <w:szCs w:val="28"/>
        </w:rPr>
      </w:pPr>
    </w:p>
    <w:p w:rsidR="00D57EB6" w:rsidRDefault="00D57EB6" w:rsidP="00D57EB6">
      <w:pPr>
        <w:pStyle w:val="Default"/>
        <w:rPr>
          <w:sz w:val="28"/>
          <w:szCs w:val="28"/>
        </w:rPr>
      </w:pPr>
      <w:r>
        <w:rPr>
          <w:b/>
          <w:bCs/>
          <w:sz w:val="28"/>
          <w:szCs w:val="28"/>
        </w:rPr>
        <w:t>Calendrier des vaccinations 2022</w:t>
      </w:r>
    </w:p>
    <w:p w:rsidR="00D57EB6" w:rsidRDefault="00D57EB6" w:rsidP="00D57EB6">
      <w:pPr>
        <w:pStyle w:val="Default"/>
        <w:rPr>
          <w:sz w:val="22"/>
          <w:szCs w:val="22"/>
        </w:rPr>
      </w:pPr>
    </w:p>
    <w:p w:rsidR="00D57EB6" w:rsidRDefault="00D57EB6" w:rsidP="00D57EB6">
      <w:pPr>
        <w:pStyle w:val="Default"/>
        <w:spacing w:after="120"/>
        <w:jc w:val="both"/>
        <w:rPr>
          <w:sz w:val="22"/>
          <w:szCs w:val="22"/>
        </w:rPr>
      </w:pPr>
      <w:r>
        <w:rPr>
          <w:sz w:val="22"/>
          <w:szCs w:val="22"/>
        </w:rPr>
        <w:t xml:space="preserve">Le calendrier des vaccinations 2022 est rendu public ce jour. Elaboré par le ministère chargé de la Santé, après avis de la Haute autorité de santé (HAS), le calendrier des vaccinations rassemble l’ensemble des recommandations applicables aux personnes résidant en France en fonction de leur âge et émet les recommandations vaccinales « générales » et des recommandations vaccinales « particulières » propres à des situations spécifiques (risques accrus de complications, d’exposition ou de transmission) ou à des expositions professionnelles. </w:t>
      </w:r>
    </w:p>
    <w:p w:rsidR="00D57EB6" w:rsidRPr="00D57EB6" w:rsidRDefault="00D57EB6" w:rsidP="00D57EB6">
      <w:pPr>
        <w:pStyle w:val="Default"/>
        <w:spacing w:after="120"/>
        <w:jc w:val="both"/>
        <w:rPr>
          <w:b/>
          <w:bCs/>
          <w:sz w:val="22"/>
          <w:szCs w:val="22"/>
        </w:rPr>
      </w:pPr>
      <w:r>
        <w:rPr>
          <w:b/>
          <w:bCs/>
          <w:sz w:val="22"/>
          <w:szCs w:val="22"/>
        </w:rPr>
        <w:t xml:space="preserve">Le calendrier des vaccinations 2022 introduit de nouvelles recommandations : </w:t>
      </w:r>
    </w:p>
    <w:p w:rsidR="00D57EB6" w:rsidRPr="00D57EB6" w:rsidRDefault="00D57EB6" w:rsidP="00D57EB6">
      <w:pPr>
        <w:numPr>
          <w:ilvl w:val="0"/>
          <w:numId w:val="2"/>
        </w:numPr>
        <w:spacing w:after="120" w:line="240" w:lineRule="auto"/>
        <w:ind w:left="426"/>
        <w:jc w:val="both"/>
      </w:pPr>
      <w:r w:rsidRPr="00D57EB6">
        <w:t>La vaccination contre le méningocoque B est recommandée chez l’ensemble des nourrissons à partir de 2 mois et jusqu’à l’âge de 2 ans</w:t>
      </w:r>
    </w:p>
    <w:p w:rsidR="00D57EB6" w:rsidRPr="00D57EB6" w:rsidRDefault="00D57EB6" w:rsidP="00D57EB6">
      <w:pPr>
        <w:numPr>
          <w:ilvl w:val="0"/>
          <w:numId w:val="2"/>
        </w:numPr>
        <w:spacing w:after="120" w:line="240" w:lineRule="auto"/>
        <w:ind w:left="426"/>
        <w:jc w:val="both"/>
      </w:pPr>
      <w:r w:rsidRPr="00D57EB6">
        <w:t>La vaccination contre la coqueluche est recommandée chez la femme enceinte à partir du deuxième trimestre de grossesse, en privilégiant la période entre 20 et 36 semaines d’aménorrhée (absence de règles), afin d’augmenter le transfert des anticorps maternels et d’assurer une pro</w:t>
      </w:r>
      <w:r>
        <w:t>tection optimale du nouveau-né.</w:t>
      </w:r>
    </w:p>
    <w:p w:rsidR="00D57EB6" w:rsidRDefault="00D57EB6" w:rsidP="00D57EB6">
      <w:pPr>
        <w:numPr>
          <w:ilvl w:val="0"/>
          <w:numId w:val="2"/>
        </w:numPr>
        <w:spacing w:after="120" w:line="240" w:lineRule="auto"/>
        <w:ind w:left="426"/>
        <w:jc w:val="both"/>
      </w:pPr>
      <w:r w:rsidRPr="00D57EB6">
        <w:t xml:space="preserve">La vaccination contre la grippe saisonnière est recommandée chez les professionnels exposés dans le cadre professionnel aux virus </w:t>
      </w:r>
      <w:r w:rsidR="0079344E">
        <w:t xml:space="preserve">grippaux </w:t>
      </w:r>
      <w:r w:rsidRPr="00D57EB6">
        <w:t>porcins et aviaires.</w:t>
      </w:r>
    </w:p>
    <w:p w:rsidR="00D57EB6" w:rsidRDefault="00D57EB6" w:rsidP="00D57EB6">
      <w:pPr>
        <w:spacing w:after="120" w:line="240" w:lineRule="auto"/>
        <w:jc w:val="both"/>
      </w:pPr>
      <w:r>
        <w:t xml:space="preserve">Comme chaque année, le calendrier des vaccinations est également actualisé pour inclure les nouveautés en termes de vaccins disponibles, de prise en charge, ou encore de compétences des professionnels de santé impliqués dans la vaccination. </w:t>
      </w:r>
    </w:p>
    <w:p w:rsidR="00D57EB6" w:rsidRDefault="00D57EB6" w:rsidP="00D57EB6">
      <w:pPr>
        <w:pStyle w:val="Default"/>
        <w:spacing w:after="120"/>
        <w:jc w:val="both"/>
        <w:rPr>
          <w:sz w:val="22"/>
          <w:szCs w:val="22"/>
        </w:rPr>
      </w:pPr>
      <w:r>
        <w:rPr>
          <w:sz w:val="22"/>
          <w:szCs w:val="22"/>
        </w:rPr>
        <w:t xml:space="preserve">Les professionnels de santé sont invités à consulter régulièrement le site du ministère de la santé sur lequel est publié la version datée. </w:t>
      </w:r>
    </w:p>
    <w:p w:rsidR="00D57EB6" w:rsidRDefault="00D57EB6" w:rsidP="00D57EB6">
      <w:pPr>
        <w:pStyle w:val="Default"/>
        <w:jc w:val="both"/>
        <w:rPr>
          <w:sz w:val="22"/>
          <w:szCs w:val="22"/>
        </w:rPr>
      </w:pPr>
    </w:p>
    <w:p w:rsidR="00D57EB6" w:rsidRDefault="00D57EB6" w:rsidP="00D57EB6">
      <w:pPr>
        <w:pStyle w:val="Default"/>
        <w:jc w:val="both"/>
        <w:rPr>
          <w:sz w:val="22"/>
          <w:szCs w:val="22"/>
        </w:rPr>
      </w:pPr>
      <w:r>
        <w:rPr>
          <w:sz w:val="22"/>
          <w:szCs w:val="22"/>
        </w:rPr>
        <w:t xml:space="preserve">Consulter le calendrier des vaccinations 2022 : </w:t>
      </w:r>
      <w:hyperlink r:id="rId7" w:history="1">
        <w:r w:rsidRPr="008A3399">
          <w:rPr>
            <w:rStyle w:val="Lienhypertexte"/>
            <w:sz w:val="22"/>
            <w:szCs w:val="22"/>
          </w:rPr>
          <w:t>https://solidarites-sante.gouv.fr/calendrier-vaccinal</w:t>
        </w:r>
      </w:hyperlink>
      <w:r>
        <w:rPr>
          <w:sz w:val="22"/>
          <w:szCs w:val="22"/>
        </w:rPr>
        <w:t xml:space="preserve">  </w:t>
      </w:r>
    </w:p>
    <w:p w:rsidR="00D57EB6" w:rsidRDefault="00D57EB6" w:rsidP="00D57EB6">
      <w:pPr>
        <w:pStyle w:val="Default"/>
        <w:jc w:val="both"/>
        <w:rPr>
          <w:b/>
          <w:bCs/>
          <w:sz w:val="22"/>
          <w:szCs w:val="22"/>
        </w:rPr>
      </w:pPr>
    </w:p>
    <w:p w:rsidR="00D57EB6" w:rsidRDefault="00D57EB6" w:rsidP="00D57EB6">
      <w:pPr>
        <w:pStyle w:val="Default"/>
        <w:jc w:val="both"/>
        <w:rPr>
          <w:sz w:val="22"/>
          <w:szCs w:val="22"/>
        </w:rPr>
      </w:pPr>
      <w:r>
        <w:rPr>
          <w:b/>
          <w:bCs/>
          <w:sz w:val="22"/>
          <w:szCs w:val="22"/>
        </w:rPr>
        <w:t xml:space="preserve">Contact presse : </w:t>
      </w:r>
    </w:p>
    <w:p w:rsidR="0012262B" w:rsidRDefault="00D57EB6" w:rsidP="00D57EB6">
      <w:pPr>
        <w:jc w:val="both"/>
      </w:pPr>
      <w:r>
        <w:t>Direction générale de la santé : presse-dgs@sante.gouv.fr - 01 40 56 84 00</w:t>
      </w:r>
    </w:p>
    <w:sectPr w:rsidR="001226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A0" w:rsidRDefault="008854A0" w:rsidP="00D57EB6">
      <w:pPr>
        <w:spacing w:after="0" w:line="240" w:lineRule="auto"/>
      </w:pPr>
      <w:r>
        <w:separator/>
      </w:r>
    </w:p>
  </w:endnote>
  <w:endnote w:type="continuationSeparator" w:id="0">
    <w:p w:rsidR="008854A0" w:rsidRDefault="008854A0" w:rsidP="00D5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A0" w:rsidRDefault="008854A0" w:rsidP="00D57EB6">
      <w:pPr>
        <w:spacing w:after="0" w:line="240" w:lineRule="auto"/>
      </w:pPr>
      <w:r>
        <w:separator/>
      </w:r>
    </w:p>
  </w:footnote>
  <w:footnote w:type="continuationSeparator" w:id="0">
    <w:p w:rsidR="008854A0" w:rsidRDefault="008854A0" w:rsidP="00D5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EB6" w:rsidRDefault="00D57EB6">
    <w:pPr>
      <w:pStyle w:val="En-tte"/>
    </w:pPr>
    <w:r>
      <w:rPr>
        <w:noProof/>
        <w:lang w:eastAsia="fr-FR"/>
      </w:rPr>
      <w:drawing>
        <wp:anchor distT="0" distB="0" distL="114300" distR="114300" simplePos="0" relativeHeight="251659264" behindDoc="0" locked="0" layoutInCell="1" allowOverlap="1" wp14:anchorId="0A5B620E" wp14:editId="6ECD582C">
          <wp:simplePos x="0" y="0"/>
          <wp:positionH relativeFrom="margin">
            <wp:posOffset>0</wp:posOffset>
          </wp:positionH>
          <wp:positionV relativeFrom="margin">
            <wp:posOffset>-275590</wp:posOffset>
          </wp:positionV>
          <wp:extent cx="1318895" cy="1024255"/>
          <wp:effectExtent l="0" t="0" r="0" b="444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895"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8.25pt" o:bullet="t">
        <v:imagedata r:id="rId1" o:title="clip_image001"/>
      </v:shape>
    </w:pict>
  </w:numPicBullet>
  <w:abstractNum w:abstractNumId="0" w15:restartNumberingAfterBreak="0">
    <w:nsid w:val="14C866B6"/>
    <w:multiLevelType w:val="hybridMultilevel"/>
    <w:tmpl w:val="347E2BF4"/>
    <w:lvl w:ilvl="0" w:tplc="82E2BC10">
      <w:start w:val="1"/>
      <w:numFmt w:val="bullet"/>
      <w:lvlText w:val=""/>
      <w:lvlPicBulletId w:val="0"/>
      <w:lvlJc w:val="left"/>
      <w:pPr>
        <w:tabs>
          <w:tab w:val="num" w:pos="720"/>
        </w:tabs>
        <w:ind w:left="720" w:hanging="360"/>
      </w:pPr>
      <w:rPr>
        <w:rFonts w:ascii="Symbol" w:hAnsi="Symbol" w:hint="default"/>
      </w:rPr>
    </w:lvl>
    <w:lvl w:ilvl="1" w:tplc="38C42E5A">
      <w:start w:val="1"/>
      <w:numFmt w:val="bullet"/>
      <w:lvlText w:val=""/>
      <w:lvlJc w:val="left"/>
      <w:pPr>
        <w:tabs>
          <w:tab w:val="num" w:pos="1440"/>
        </w:tabs>
        <w:ind w:left="1440" w:hanging="360"/>
      </w:pPr>
      <w:rPr>
        <w:rFonts w:ascii="Symbol" w:hAnsi="Symbol" w:hint="default"/>
      </w:rPr>
    </w:lvl>
    <w:lvl w:ilvl="2" w:tplc="8B3E4894">
      <w:start w:val="1"/>
      <w:numFmt w:val="bullet"/>
      <w:lvlText w:val=""/>
      <w:lvlJc w:val="left"/>
      <w:pPr>
        <w:tabs>
          <w:tab w:val="num" w:pos="2160"/>
        </w:tabs>
        <w:ind w:left="2160" w:hanging="360"/>
      </w:pPr>
      <w:rPr>
        <w:rFonts w:ascii="Symbol" w:hAnsi="Symbol" w:hint="default"/>
      </w:rPr>
    </w:lvl>
    <w:lvl w:ilvl="3" w:tplc="AD1C8F94">
      <w:start w:val="1"/>
      <w:numFmt w:val="bullet"/>
      <w:lvlText w:val=""/>
      <w:lvlJc w:val="left"/>
      <w:pPr>
        <w:tabs>
          <w:tab w:val="num" w:pos="2880"/>
        </w:tabs>
        <w:ind w:left="2880" w:hanging="360"/>
      </w:pPr>
      <w:rPr>
        <w:rFonts w:ascii="Symbol" w:hAnsi="Symbol" w:hint="default"/>
      </w:rPr>
    </w:lvl>
    <w:lvl w:ilvl="4" w:tplc="99524BE2">
      <w:start w:val="1"/>
      <w:numFmt w:val="bullet"/>
      <w:lvlText w:val=""/>
      <w:lvlJc w:val="left"/>
      <w:pPr>
        <w:tabs>
          <w:tab w:val="num" w:pos="3600"/>
        </w:tabs>
        <w:ind w:left="3600" w:hanging="360"/>
      </w:pPr>
      <w:rPr>
        <w:rFonts w:ascii="Symbol" w:hAnsi="Symbol" w:hint="default"/>
      </w:rPr>
    </w:lvl>
    <w:lvl w:ilvl="5" w:tplc="9AE6D6CE">
      <w:start w:val="1"/>
      <w:numFmt w:val="bullet"/>
      <w:lvlText w:val=""/>
      <w:lvlJc w:val="left"/>
      <w:pPr>
        <w:tabs>
          <w:tab w:val="num" w:pos="4320"/>
        </w:tabs>
        <w:ind w:left="4320" w:hanging="360"/>
      </w:pPr>
      <w:rPr>
        <w:rFonts w:ascii="Symbol" w:hAnsi="Symbol" w:hint="default"/>
      </w:rPr>
    </w:lvl>
    <w:lvl w:ilvl="6" w:tplc="48F09AE6">
      <w:start w:val="1"/>
      <w:numFmt w:val="bullet"/>
      <w:lvlText w:val=""/>
      <w:lvlJc w:val="left"/>
      <w:pPr>
        <w:tabs>
          <w:tab w:val="num" w:pos="5040"/>
        </w:tabs>
        <w:ind w:left="5040" w:hanging="360"/>
      </w:pPr>
      <w:rPr>
        <w:rFonts w:ascii="Symbol" w:hAnsi="Symbol" w:hint="default"/>
      </w:rPr>
    </w:lvl>
    <w:lvl w:ilvl="7" w:tplc="EB7E0016">
      <w:start w:val="1"/>
      <w:numFmt w:val="bullet"/>
      <w:lvlText w:val=""/>
      <w:lvlJc w:val="left"/>
      <w:pPr>
        <w:tabs>
          <w:tab w:val="num" w:pos="5760"/>
        </w:tabs>
        <w:ind w:left="5760" w:hanging="360"/>
      </w:pPr>
      <w:rPr>
        <w:rFonts w:ascii="Symbol" w:hAnsi="Symbol" w:hint="default"/>
      </w:rPr>
    </w:lvl>
    <w:lvl w:ilvl="8" w:tplc="A1E69D1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EED38F5"/>
    <w:multiLevelType w:val="hybridMultilevel"/>
    <w:tmpl w:val="BF68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B6"/>
    <w:rsid w:val="0012262B"/>
    <w:rsid w:val="00482861"/>
    <w:rsid w:val="0079344E"/>
    <w:rsid w:val="008854A0"/>
    <w:rsid w:val="00D57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215F"/>
  <w15:chartTrackingRefBased/>
  <w15:docId w15:val="{928D500B-AD5D-4FD5-9F05-A697F751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B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57EB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D57EB6"/>
    <w:rPr>
      <w:color w:val="0563C1" w:themeColor="hyperlink"/>
      <w:u w:val="single"/>
    </w:rPr>
  </w:style>
  <w:style w:type="paragraph" w:styleId="Paragraphedeliste">
    <w:name w:val="List Paragraph"/>
    <w:basedOn w:val="Normal"/>
    <w:uiPriority w:val="34"/>
    <w:qFormat/>
    <w:rsid w:val="00D57EB6"/>
    <w:pPr>
      <w:ind w:left="720"/>
      <w:contextualSpacing/>
    </w:pPr>
  </w:style>
  <w:style w:type="paragraph" w:styleId="En-tte">
    <w:name w:val="header"/>
    <w:basedOn w:val="Normal"/>
    <w:link w:val="En-tteCar"/>
    <w:uiPriority w:val="99"/>
    <w:unhideWhenUsed/>
    <w:rsid w:val="00D57EB6"/>
    <w:pPr>
      <w:tabs>
        <w:tab w:val="center" w:pos="4536"/>
        <w:tab w:val="right" w:pos="9072"/>
      </w:tabs>
      <w:spacing w:after="0" w:line="240" w:lineRule="auto"/>
    </w:pPr>
  </w:style>
  <w:style w:type="character" w:customStyle="1" w:styleId="En-tteCar">
    <w:name w:val="En-tête Car"/>
    <w:basedOn w:val="Policepardfaut"/>
    <w:link w:val="En-tte"/>
    <w:uiPriority w:val="99"/>
    <w:rsid w:val="00D57EB6"/>
  </w:style>
  <w:style w:type="paragraph" w:styleId="Pieddepage">
    <w:name w:val="footer"/>
    <w:basedOn w:val="Normal"/>
    <w:link w:val="PieddepageCar"/>
    <w:uiPriority w:val="99"/>
    <w:unhideWhenUsed/>
    <w:rsid w:val="00D57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lidarites-sante.gouv.fr/calendrier-vacci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BOUSCAILLOU, Julie (DGS/SP/SP1)</dc:creator>
  <cp:keywords/>
  <dc:description/>
  <cp:lastModifiedBy>CHARLES, Stephanie (DGS/MICOM)</cp:lastModifiedBy>
  <cp:revision>2</cp:revision>
  <dcterms:created xsi:type="dcterms:W3CDTF">2022-04-22T14:19:00Z</dcterms:created>
  <dcterms:modified xsi:type="dcterms:W3CDTF">2022-04-22T14:19:00Z</dcterms:modified>
</cp:coreProperties>
</file>