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1817F122" w:rsidR="00EF7EA0" w:rsidRPr="005E4ACE" w:rsidRDefault="00CF127D" w:rsidP="00EF7EA0">
      <w:pPr>
        <w:jc w:val="center"/>
        <w:rPr>
          <w:rFonts w:cstheme="minorHAnsi"/>
          <w:b/>
          <w:sz w:val="24"/>
        </w:rPr>
      </w:pPr>
      <w:r w:rsidRPr="005E4ACE">
        <w:rPr>
          <w:rFonts w:cstheme="minorHAnsi"/>
          <w:b/>
          <w:sz w:val="24"/>
        </w:rPr>
        <w:t>COMMUNIQUE DE PRESSE</w:t>
      </w:r>
    </w:p>
    <w:p w14:paraId="3A066FC4" w14:textId="58810F3D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853536">
        <w:rPr>
          <w:rFonts w:cstheme="minorHAnsi"/>
        </w:rPr>
        <w:t>6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6A3287B3" w14:textId="77777777" w:rsidR="00853536" w:rsidRDefault="00853536" w:rsidP="0019764F">
      <w:pPr>
        <w:jc w:val="right"/>
        <w:rPr>
          <w:rFonts w:cstheme="minorHAnsi"/>
        </w:rPr>
      </w:pPr>
    </w:p>
    <w:p w14:paraId="1208C8B6" w14:textId="6F0FBDAE" w:rsidR="0019764F" w:rsidRDefault="00EF7EA0" w:rsidP="005E4ACE">
      <w:pPr>
        <w:jc w:val="center"/>
        <w:rPr>
          <w:rFonts w:cstheme="minorHAnsi"/>
          <w:b/>
          <w:sz w:val="28"/>
          <w:szCs w:val="26"/>
        </w:rPr>
      </w:pPr>
      <w:r w:rsidRPr="005E4ACE">
        <w:rPr>
          <w:rFonts w:cstheme="minorHAnsi"/>
          <w:b/>
          <w:sz w:val="28"/>
          <w:szCs w:val="26"/>
          <w:u w:val="single"/>
        </w:rPr>
        <w:t>VACCIN</w:t>
      </w:r>
      <w:r w:rsidR="00CF127D" w:rsidRPr="005E4ACE">
        <w:rPr>
          <w:rFonts w:cstheme="minorHAnsi"/>
          <w:b/>
          <w:sz w:val="28"/>
          <w:szCs w:val="26"/>
          <w:u w:val="single"/>
        </w:rPr>
        <w:t xml:space="preserve"> anti-COVID :</w:t>
      </w:r>
      <w:r w:rsidR="0019764F" w:rsidRPr="005E4ACE">
        <w:rPr>
          <w:rFonts w:cstheme="minorHAnsi"/>
          <w:b/>
          <w:sz w:val="28"/>
          <w:szCs w:val="26"/>
        </w:rPr>
        <w:t xml:space="preserve"> </w:t>
      </w:r>
      <w:r w:rsidR="00CF127D" w:rsidRPr="005E4ACE">
        <w:rPr>
          <w:rFonts w:cstheme="minorHAnsi"/>
          <w:b/>
          <w:sz w:val="28"/>
          <w:szCs w:val="26"/>
        </w:rPr>
        <w:t>première livraison d</w:t>
      </w:r>
      <w:r w:rsidR="00EC5FF7">
        <w:rPr>
          <w:rFonts w:cstheme="minorHAnsi"/>
          <w:b/>
          <w:sz w:val="28"/>
          <w:szCs w:val="26"/>
        </w:rPr>
        <w:t>e doses du vaccin Astra</w:t>
      </w:r>
      <w:r w:rsidR="00CF127D" w:rsidRPr="005E4ACE">
        <w:rPr>
          <w:rFonts w:cstheme="minorHAnsi"/>
          <w:b/>
          <w:sz w:val="28"/>
          <w:szCs w:val="26"/>
        </w:rPr>
        <w:t>Zeneca ce samedi 6 février 2021</w:t>
      </w:r>
      <w:r w:rsidR="00EC5FF7">
        <w:rPr>
          <w:rFonts w:cstheme="minorHAnsi"/>
          <w:b/>
          <w:sz w:val="28"/>
          <w:szCs w:val="26"/>
        </w:rPr>
        <w:t>,</w:t>
      </w:r>
      <w:r w:rsidR="00CF127D" w:rsidRPr="005E4ACE">
        <w:rPr>
          <w:rFonts w:cstheme="minorHAnsi"/>
          <w:b/>
          <w:sz w:val="28"/>
          <w:szCs w:val="26"/>
        </w:rPr>
        <w:t xml:space="preserve"> destinées aux professionnels de santé et du médico-social de moins de 65 ans</w:t>
      </w:r>
    </w:p>
    <w:p w14:paraId="62C8CADD" w14:textId="73090444" w:rsidR="00C1047A" w:rsidRDefault="00CF127D" w:rsidP="00C1047A">
      <w:pPr>
        <w:jc w:val="both"/>
        <w:rPr>
          <w:rFonts w:cstheme="minorHAnsi"/>
        </w:rPr>
      </w:pPr>
      <w:r w:rsidRPr="00D9471C">
        <w:rPr>
          <w:rFonts w:cstheme="minorHAnsi"/>
          <w:b/>
        </w:rPr>
        <w:t>Après avoir reçu une autorisation de mise sur le marché européenne le 29 janvier 2021, le vaccin développé par la firme AstraZeneca a fait l’objet d’une recommandation de la Haute autorité de santé (HAS).</w:t>
      </w:r>
      <w:r w:rsidRPr="00A61C7B">
        <w:rPr>
          <w:rFonts w:cstheme="minorHAnsi"/>
        </w:rPr>
        <w:t xml:space="preserve"> </w:t>
      </w:r>
      <w:bookmarkStart w:id="0" w:name="_GoBack"/>
      <w:r w:rsidRPr="00A61C7B">
        <w:rPr>
          <w:rFonts w:cstheme="minorHAnsi"/>
        </w:rPr>
        <w:t>Il s’agit ainsi du troisième vaccin autorisé en France. A la différence des deux premiers vaccins autorisés (Pfizer-BioNTech ; Moderna) utilisant la technologie dite « à ARN messager », le vaccin AstraZeneca est un vaccin à base d’adénovirus</w:t>
      </w:r>
      <w:r w:rsidR="00B72C17" w:rsidRPr="00A61C7B">
        <w:rPr>
          <w:rFonts w:cstheme="minorHAnsi"/>
        </w:rPr>
        <w:t xml:space="preserve">. </w:t>
      </w:r>
      <w:r w:rsidR="00704FD4" w:rsidRPr="00A61C7B">
        <w:rPr>
          <w:rFonts w:cstheme="minorHAnsi"/>
        </w:rPr>
        <w:t>Ce vaccin s’administre en deux doses et permet de prévenir les formes grave</w:t>
      </w:r>
      <w:r w:rsidR="00F4492D">
        <w:rPr>
          <w:rFonts w:cstheme="minorHAnsi"/>
        </w:rPr>
        <w:t>s</w:t>
      </w:r>
      <w:r w:rsidR="00704FD4" w:rsidRPr="00A61C7B">
        <w:rPr>
          <w:rFonts w:cstheme="minorHAnsi"/>
        </w:rPr>
        <w:t xml:space="preserve"> de la COVID 19 chez les personnes âgées de 18 ans et plus. </w:t>
      </w:r>
      <w:r w:rsidR="00C1047A" w:rsidRPr="00A61C7B">
        <w:rPr>
          <w:rFonts w:cstheme="minorHAnsi"/>
        </w:rPr>
        <w:t xml:space="preserve">A ce stade, la HAS </w:t>
      </w:r>
      <w:r w:rsidR="00C1047A" w:rsidRPr="001B316C">
        <w:rPr>
          <w:rFonts w:cstheme="minorHAnsi"/>
        </w:rPr>
        <w:t>recommande ce vaccin</w:t>
      </w:r>
      <w:r w:rsidR="00C1047A">
        <w:rPr>
          <w:rFonts w:cstheme="minorHAnsi"/>
        </w:rPr>
        <w:t> :</w:t>
      </w:r>
    </w:p>
    <w:p w14:paraId="4C1B5AA6" w14:textId="77777777" w:rsidR="00C1047A" w:rsidRDefault="00C1047A" w:rsidP="00C1047A">
      <w:pPr>
        <w:pStyle w:val="Paragraphedeliste"/>
        <w:numPr>
          <w:ilvl w:val="0"/>
          <w:numId w:val="11"/>
        </w:numPr>
        <w:jc w:val="both"/>
        <w:rPr>
          <w:rFonts w:cstheme="minorHAnsi"/>
        </w:rPr>
      </w:pPr>
      <w:r w:rsidRPr="001B316C">
        <w:rPr>
          <w:rFonts w:cstheme="minorHAnsi"/>
        </w:rPr>
        <w:t>chez les personnes de moins de 65 ans en commençant par les professionnels du secteur de la santé ou du médico-social quel que soit leur âge</w:t>
      </w:r>
      <w:r>
        <w:rPr>
          <w:rFonts w:cstheme="minorHAnsi"/>
        </w:rPr>
        <w:t> ;</w:t>
      </w:r>
    </w:p>
    <w:p w14:paraId="50716E64" w14:textId="77777777" w:rsidR="00C1047A" w:rsidRDefault="00C1047A" w:rsidP="00C1047A">
      <w:pPr>
        <w:pStyle w:val="Paragraphedeliste"/>
        <w:numPr>
          <w:ilvl w:val="0"/>
          <w:numId w:val="11"/>
        </w:numPr>
        <w:jc w:val="both"/>
        <w:rPr>
          <w:rFonts w:cstheme="minorHAnsi"/>
        </w:rPr>
      </w:pPr>
      <w:r w:rsidRPr="001B316C">
        <w:rPr>
          <w:rFonts w:cstheme="minorHAnsi"/>
        </w:rPr>
        <w:t>et chez les personnes âgées de 50 à 64 ans, en priorisant celles qui présentent des comorbidités</w:t>
      </w:r>
    </w:p>
    <w:p w14:paraId="5893BAEB" w14:textId="4A076A6E" w:rsidR="007E491A" w:rsidRPr="00A61C7B" w:rsidRDefault="003257A8" w:rsidP="00EF7EA0">
      <w:pPr>
        <w:jc w:val="both"/>
        <w:rPr>
          <w:rFonts w:cstheme="minorHAnsi"/>
        </w:rPr>
      </w:pPr>
      <w:r w:rsidRPr="00A61C7B">
        <w:rPr>
          <w:rFonts w:cstheme="minorHAnsi"/>
        </w:rPr>
        <w:t xml:space="preserve">Dans un premier temps, les doses de vaccins </w:t>
      </w:r>
      <w:r w:rsidR="005E3EAC">
        <w:rPr>
          <w:rFonts w:cstheme="minorHAnsi"/>
        </w:rPr>
        <w:t>seront donc destinées à la vaccinatio</w:t>
      </w:r>
      <w:r w:rsidR="00917632" w:rsidRPr="00A61C7B">
        <w:rPr>
          <w:rFonts w:cstheme="minorHAnsi"/>
        </w:rPr>
        <w:t xml:space="preserve">n des </w:t>
      </w:r>
      <w:r w:rsidR="00917632" w:rsidRPr="00A421C8">
        <w:rPr>
          <w:rFonts w:cstheme="minorHAnsi"/>
          <w:b/>
        </w:rPr>
        <w:t>professionnels de santé et du médico-social de moins de 65 ans</w:t>
      </w:r>
      <w:r w:rsidR="005E3EAC">
        <w:rPr>
          <w:rFonts w:cstheme="minorHAnsi"/>
        </w:rPr>
        <w:t xml:space="preserve">. Elles </w:t>
      </w:r>
      <w:r w:rsidRPr="00A61C7B">
        <w:rPr>
          <w:rFonts w:cstheme="minorHAnsi"/>
        </w:rPr>
        <w:t>seront réparties</w:t>
      </w:r>
      <w:r w:rsidR="007E491A">
        <w:rPr>
          <w:rFonts w:cstheme="minorHAnsi"/>
        </w:rPr>
        <w:t xml:space="preserve"> </w:t>
      </w:r>
      <w:r w:rsidRPr="00A61C7B">
        <w:rPr>
          <w:rFonts w:cstheme="minorHAnsi"/>
        </w:rPr>
        <w:t xml:space="preserve">vers les établissements de santé pivots, puis </w:t>
      </w:r>
      <w:r w:rsidR="00391497">
        <w:rPr>
          <w:rFonts w:cstheme="minorHAnsi"/>
        </w:rPr>
        <w:t>attribuées</w:t>
      </w:r>
      <w:r w:rsidR="00391497" w:rsidRPr="00A61C7B">
        <w:rPr>
          <w:rFonts w:cstheme="minorHAnsi"/>
        </w:rPr>
        <w:t xml:space="preserve"> </w:t>
      </w:r>
      <w:r w:rsidRPr="00A61C7B">
        <w:rPr>
          <w:rFonts w:cstheme="minorHAnsi"/>
        </w:rPr>
        <w:t xml:space="preserve">par les ARS </w:t>
      </w:r>
      <w:r w:rsidR="00391497">
        <w:rPr>
          <w:rFonts w:cstheme="minorHAnsi"/>
        </w:rPr>
        <w:t>aux</w:t>
      </w:r>
      <w:r w:rsidRPr="00A61C7B">
        <w:rPr>
          <w:rFonts w:cstheme="minorHAnsi"/>
        </w:rPr>
        <w:t xml:space="preserve"> différents </w:t>
      </w:r>
      <w:r w:rsidR="00C1047A">
        <w:rPr>
          <w:rFonts w:cstheme="minorHAnsi"/>
        </w:rPr>
        <w:t>lieux</w:t>
      </w:r>
      <w:r w:rsidR="00C1047A" w:rsidRPr="00A61C7B">
        <w:rPr>
          <w:rFonts w:cstheme="minorHAnsi"/>
        </w:rPr>
        <w:t xml:space="preserve"> </w:t>
      </w:r>
      <w:r w:rsidRPr="00A61C7B">
        <w:rPr>
          <w:rFonts w:cstheme="minorHAnsi"/>
        </w:rPr>
        <w:t xml:space="preserve">de vaccination. </w:t>
      </w:r>
      <w:r w:rsidR="005B7569" w:rsidRPr="00A421C8">
        <w:rPr>
          <w:rFonts w:cstheme="minorHAnsi"/>
          <w:b/>
        </w:rPr>
        <w:t>273 600 doses ser</w:t>
      </w:r>
      <w:r w:rsidR="00853536">
        <w:rPr>
          <w:rFonts w:cstheme="minorHAnsi"/>
          <w:b/>
        </w:rPr>
        <w:t>ont réparties à partir d’aujourd’hui</w:t>
      </w:r>
      <w:r w:rsidR="005B7569" w:rsidRPr="00A421C8">
        <w:rPr>
          <w:rFonts w:cstheme="minorHAnsi"/>
          <w:b/>
        </w:rPr>
        <w:t xml:space="preserve"> entre 117 établissements dont 7 Outre-mer</w:t>
      </w:r>
      <w:r w:rsidR="005B7569">
        <w:rPr>
          <w:rFonts w:cstheme="minorHAnsi"/>
        </w:rPr>
        <w:t xml:space="preserve">. La livraison suivante aura lieu la semaine prochaine (304 800 doses). </w:t>
      </w:r>
      <w:r w:rsidR="005B7569" w:rsidRPr="00A61C7B">
        <w:rPr>
          <w:rFonts w:cstheme="minorHAnsi"/>
        </w:rPr>
        <w:t xml:space="preserve"> </w:t>
      </w:r>
    </w:p>
    <w:p w14:paraId="66B067C8" w14:textId="30DA4D32" w:rsidR="00B72C17" w:rsidRPr="00A61C7B" w:rsidRDefault="00704FD4" w:rsidP="00361861">
      <w:pPr>
        <w:jc w:val="both"/>
        <w:rPr>
          <w:rFonts w:cstheme="minorHAnsi"/>
        </w:rPr>
      </w:pPr>
      <w:r w:rsidRPr="00A61C7B">
        <w:rPr>
          <w:rFonts w:cstheme="minorHAnsi"/>
        </w:rPr>
        <w:lastRenderedPageBreak/>
        <w:t>Grâ</w:t>
      </w:r>
      <w:r w:rsidR="00CF127D" w:rsidRPr="00A61C7B">
        <w:rPr>
          <w:rFonts w:cstheme="minorHAnsi"/>
        </w:rPr>
        <w:t xml:space="preserve">ce à des conditions de </w:t>
      </w:r>
      <w:r w:rsidR="005E3EAC">
        <w:rPr>
          <w:rFonts w:cstheme="minorHAnsi"/>
        </w:rPr>
        <w:t>transport et de c</w:t>
      </w:r>
      <w:r w:rsidR="00CF127D" w:rsidRPr="00A61C7B">
        <w:rPr>
          <w:rFonts w:cstheme="minorHAnsi"/>
        </w:rPr>
        <w:t xml:space="preserve">onservation </w:t>
      </w:r>
      <w:r w:rsidR="0063292A">
        <w:rPr>
          <w:rFonts w:cstheme="minorHAnsi"/>
        </w:rPr>
        <w:t>moins spécifiques que les autres vaccins disponibles</w:t>
      </w:r>
      <w:r w:rsidR="007305B5">
        <w:rPr>
          <w:rFonts w:cstheme="minorHAnsi"/>
        </w:rPr>
        <w:t>,</w:t>
      </w:r>
      <w:r w:rsidR="00D9471C" w:rsidRPr="00A61C7B">
        <w:rPr>
          <w:rFonts w:cstheme="minorHAnsi"/>
        </w:rPr>
        <w:t xml:space="preserve"> </w:t>
      </w:r>
      <w:r w:rsidR="00CF127D" w:rsidRPr="00A421C8">
        <w:rPr>
          <w:rFonts w:cstheme="minorHAnsi"/>
          <w:b/>
        </w:rPr>
        <w:t xml:space="preserve">la logistique de ce vaccin </w:t>
      </w:r>
      <w:r w:rsidR="0063292A">
        <w:rPr>
          <w:rFonts w:cstheme="minorHAnsi"/>
          <w:b/>
        </w:rPr>
        <w:t>est</w:t>
      </w:r>
      <w:r w:rsidR="00D9471C" w:rsidRPr="00A421C8">
        <w:rPr>
          <w:rFonts w:cstheme="minorHAnsi"/>
          <w:b/>
        </w:rPr>
        <w:t xml:space="preserve"> </w:t>
      </w:r>
      <w:r w:rsidR="00084CFC" w:rsidRPr="00A421C8">
        <w:rPr>
          <w:rFonts w:cstheme="minorHAnsi"/>
          <w:b/>
        </w:rPr>
        <w:t>simplifiée</w:t>
      </w:r>
      <w:r w:rsidR="007305B5">
        <w:rPr>
          <w:rFonts w:cstheme="minorHAnsi"/>
        </w:rPr>
        <w:t>.</w:t>
      </w:r>
      <w:r w:rsidR="0063292A">
        <w:rPr>
          <w:rFonts w:cstheme="minorHAnsi"/>
        </w:rPr>
        <w:t xml:space="preserve"> Dès que les quantités livrées le permettront, il pourra être administré par les médecins de ville, puis, dans un second temps, dans les</w:t>
      </w:r>
      <w:r w:rsidR="00CF127D" w:rsidRPr="00A61C7B">
        <w:rPr>
          <w:rFonts w:cstheme="minorHAnsi"/>
        </w:rPr>
        <w:t xml:space="preserve"> pharmacies de proximité</w:t>
      </w:r>
      <w:r w:rsidR="0063292A">
        <w:rPr>
          <w:rFonts w:cstheme="minorHAnsi"/>
        </w:rPr>
        <w:t>,</w:t>
      </w:r>
      <w:r w:rsidR="00D9471C">
        <w:rPr>
          <w:rFonts w:cstheme="minorHAnsi"/>
        </w:rPr>
        <w:t xml:space="preserve"> pour les personnes répondant aux critères requis</w:t>
      </w:r>
      <w:r w:rsidR="0063292A">
        <w:rPr>
          <w:rFonts w:cstheme="minorHAnsi"/>
        </w:rPr>
        <w:t xml:space="preserve"> par la HAS (personnes âgées de 50 à 64 ans, en commençant par celles qui présentent des comorbidités). La date exacte d’ouverture de la vaccination à ces personnes sera communiquée très prochainement, en fonction des doses disponibles.</w:t>
      </w:r>
    </w:p>
    <w:p w14:paraId="349D3E9D" w14:textId="480B1E5F" w:rsidR="00A32512" w:rsidRPr="006D4F03" w:rsidRDefault="00BF020E" w:rsidP="00361861">
      <w:pPr>
        <w:jc w:val="both"/>
        <w:rPr>
          <w:rFonts w:cstheme="minorHAnsi"/>
        </w:rPr>
      </w:pPr>
      <w:r>
        <w:rPr>
          <w:rFonts w:cstheme="minorHAnsi"/>
        </w:rPr>
        <w:t xml:space="preserve">Alors que ce vendredi 5 février 2021, la barre des </w:t>
      </w:r>
      <w:r w:rsidRPr="00A421C8">
        <w:rPr>
          <w:rFonts w:cstheme="minorHAnsi"/>
          <w:b/>
        </w:rPr>
        <w:t>2 millions de vaccinations</w:t>
      </w:r>
      <w:r>
        <w:rPr>
          <w:rFonts w:cstheme="minorHAnsi"/>
        </w:rPr>
        <w:t xml:space="preserve"> a été franchie, </w:t>
      </w:r>
      <w:r w:rsidR="008D5C43">
        <w:rPr>
          <w:rFonts w:cstheme="minorHAnsi"/>
        </w:rPr>
        <w:t>les centres de vaccination vont ouvrir progressivement</w:t>
      </w:r>
      <w:r w:rsidR="0063292A">
        <w:rPr>
          <w:rFonts w:cstheme="minorHAnsi"/>
        </w:rPr>
        <w:t>, au fur et à mesure de l’arrivée des doses,</w:t>
      </w:r>
      <w:r w:rsidR="008D5C43">
        <w:rPr>
          <w:rFonts w:cstheme="minorHAnsi"/>
        </w:rPr>
        <w:t xml:space="preserve"> de n</w:t>
      </w:r>
      <w:r w:rsidR="006D4F03" w:rsidRPr="006D4F03">
        <w:rPr>
          <w:rFonts w:cstheme="minorHAnsi"/>
        </w:rPr>
        <w:t>ouveaux créneaux d’inscription pour la vaccination</w:t>
      </w:r>
      <w:r w:rsidR="008D5C43">
        <w:rPr>
          <w:rFonts w:cstheme="minorHAnsi"/>
        </w:rPr>
        <w:t xml:space="preserve">, à </w:t>
      </w:r>
      <w:r w:rsidR="0063292A">
        <w:rPr>
          <w:rFonts w:cstheme="minorHAnsi"/>
        </w:rPr>
        <w:t xml:space="preserve">hauteur de près de 1,7 million </w:t>
      </w:r>
      <w:r w:rsidR="008D5C43">
        <w:rPr>
          <w:rFonts w:cstheme="minorHAnsi"/>
        </w:rPr>
        <w:t>de nouveaux rendez-vous</w:t>
      </w:r>
      <w:r w:rsidR="0063292A">
        <w:rPr>
          <w:rFonts w:cstheme="minorHAnsi"/>
        </w:rPr>
        <w:t xml:space="preserve"> sur</w:t>
      </w:r>
      <w:r w:rsidR="008D5C43">
        <w:rPr>
          <w:rFonts w:cstheme="minorHAnsi"/>
        </w:rPr>
        <w:t xml:space="preserve"> la deuxième quinzaine de février et le mois de mars. </w:t>
      </w:r>
      <w:r w:rsidR="006D4F03" w:rsidRPr="006D4F03">
        <w:rPr>
          <w:rFonts w:cstheme="minorHAnsi"/>
        </w:rPr>
        <w:t xml:space="preserve"> </w:t>
      </w:r>
      <w:r w:rsidR="00A32512">
        <w:rPr>
          <w:rFonts w:cstheme="minorHAnsi"/>
        </w:rPr>
        <w:t>Ces créneaux supplémentaires concerne</w:t>
      </w:r>
      <w:r w:rsidR="008D5C43">
        <w:rPr>
          <w:rFonts w:cstheme="minorHAnsi"/>
        </w:rPr>
        <w:t>ro</w:t>
      </w:r>
      <w:r w:rsidR="00A32512">
        <w:rPr>
          <w:rFonts w:cstheme="minorHAnsi"/>
        </w:rPr>
        <w:t>nt l’ensemble du territoire</w:t>
      </w:r>
      <w:r w:rsidR="0063292A">
        <w:rPr>
          <w:rFonts w:cstheme="minorHAnsi"/>
        </w:rPr>
        <w:t>.</w:t>
      </w:r>
    </w:p>
    <w:p w14:paraId="49339ABF" w14:textId="77777777" w:rsidR="00853536" w:rsidRDefault="00853536" w:rsidP="00B72C17">
      <w:pPr>
        <w:rPr>
          <w:rFonts w:cstheme="minorHAnsi"/>
          <w:b/>
        </w:rPr>
      </w:pPr>
    </w:p>
    <w:p w14:paraId="76321AF4" w14:textId="2F8CD77D" w:rsidR="00E95866" w:rsidRPr="00236289" w:rsidRDefault="00EF7EA0" w:rsidP="00B72C17">
      <w:pPr>
        <w:rPr>
          <w:rStyle w:val="Lienhypertexte"/>
          <w:rFonts w:cstheme="minorHAnsi"/>
          <w:b/>
        </w:rPr>
      </w:pPr>
      <w:r w:rsidRPr="00236289">
        <w:rPr>
          <w:rFonts w:cstheme="minorHAnsi"/>
          <w:b/>
        </w:rPr>
        <w:t xml:space="preserve">Contact presse : </w:t>
      </w:r>
    </w:p>
    <w:p w14:paraId="10BAFDEF" w14:textId="77777777" w:rsidR="00EC5FF7" w:rsidRPr="00236289" w:rsidRDefault="00EC5FF7" w:rsidP="00EC5FF7">
      <w:pPr>
        <w:pStyle w:val="Texte-Pieddepage"/>
        <w:framePr w:w="0" w:h="0" w:wrap="auto" w:vAnchor="margin" w:hAnchor="text" w:xAlign="left" w:yAlign="inline"/>
        <w:rPr>
          <w:rStyle w:val="Lienhypertexte"/>
          <w:b/>
          <w:bCs/>
          <w:color w:val="auto"/>
          <w:u w:val="none"/>
        </w:rPr>
      </w:pPr>
      <w:r w:rsidRPr="00236289">
        <w:rPr>
          <w:rStyle w:val="Lienhypertexte"/>
          <w:b/>
          <w:bCs/>
          <w:color w:val="auto"/>
          <w:u w:val="none"/>
        </w:rPr>
        <w:t>Service de presse de la Direction générale de la santé</w:t>
      </w:r>
    </w:p>
    <w:p w14:paraId="7B40F0C8" w14:textId="5B04A745" w:rsidR="00891911" w:rsidRDefault="00EC5FF7" w:rsidP="007E491A">
      <w:pPr>
        <w:pStyle w:val="Texte-Pieddepage"/>
        <w:framePr w:w="0" w:h="0" w:wrap="auto" w:vAnchor="margin" w:hAnchor="text" w:xAlign="left" w:yAlign="inline"/>
      </w:pPr>
      <w:r w:rsidRPr="00236289">
        <w:rPr>
          <w:rStyle w:val="Lienhypertexte"/>
          <w:color w:val="auto"/>
          <w:u w:val="none"/>
          <w:lang w:val="en-US"/>
        </w:rPr>
        <w:t>Tel. 01 40 56 84 00</w:t>
      </w:r>
      <w:r w:rsidR="007E491A">
        <w:rPr>
          <w:rStyle w:val="Lienhypertexte"/>
          <w:color w:val="auto"/>
          <w:u w:val="none"/>
          <w:lang w:val="en-US"/>
        </w:rPr>
        <w:t xml:space="preserve"> - </w:t>
      </w:r>
      <w:hyperlink r:id="rId8" w:history="1">
        <w:r w:rsidRPr="00236289">
          <w:rPr>
            <w:rStyle w:val="Lienhypertexte"/>
          </w:rPr>
          <w:t>presse-dgs@sante.gouv.fr</w:t>
        </w:r>
      </w:hyperlink>
      <w:bookmarkEnd w:id="0"/>
    </w:p>
    <w:sectPr w:rsidR="008919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A6BA" w14:textId="77777777" w:rsidR="004E6C09" w:rsidRDefault="004E6C09" w:rsidP="00EF7EA0">
      <w:pPr>
        <w:spacing w:after="0" w:line="240" w:lineRule="auto"/>
      </w:pPr>
      <w:r>
        <w:separator/>
      </w:r>
    </w:p>
  </w:endnote>
  <w:endnote w:type="continuationSeparator" w:id="0">
    <w:p w14:paraId="52DFFAB3" w14:textId="77777777" w:rsidR="004E6C09" w:rsidRDefault="004E6C0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010A1" w14:textId="77777777" w:rsidR="004E6C09" w:rsidRDefault="004E6C09" w:rsidP="00EF7EA0">
      <w:pPr>
        <w:spacing w:after="0" w:line="240" w:lineRule="auto"/>
      </w:pPr>
      <w:r>
        <w:separator/>
      </w:r>
    </w:p>
  </w:footnote>
  <w:footnote w:type="continuationSeparator" w:id="0">
    <w:p w14:paraId="1D280F9F" w14:textId="77777777" w:rsidR="004E6C09" w:rsidRDefault="004E6C09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D5C"/>
    <w:multiLevelType w:val="hybridMultilevel"/>
    <w:tmpl w:val="F462E0F2"/>
    <w:lvl w:ilvl="0" w:tplc="1F9AD3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0F19"/>
    <w:multiLevelType w:val="hybridMultilevel"/>
    <w:tmpl w:val="DB10A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56958"/>
    <w:multiLevelType w:val="hybridMultilevel"/>
    <w:tmpl w:val="492ED0AA"/>
    <w:lvl w:ilvl="0" w:tplc="743EC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7290B"/>
    <w:rsid w:val="00074059"/>
    <w:rsid w:val="00084CFC"/>
    <w:rsid w:val="000C0D04"/>
    <w:rsid w:val="000D28DD"/>
    <w:rsid w:val="000E2863"/>
    <w:rsid w:val="000F596B"/>
    <w:rsid w:val="0014205A"/>
    <w:rsid w:val="00164390"/>
    <w:rsid w:val="00187DB7"/>
    <w:rsid w:val="0019764F"/>
    <w:rsid w:val="001A1B84"/>
    <w:rsid w:val="001A751C"/>
    <w:rsid w:val="001B392A"/>
    <w:rsid w:val="001B6E0B"/>
    <w:rsid w:val="001D0AD2"/>
    <w:rsid w:val="001E1924"/>
    <w:rsid w:val="002011FB"/>
    <w:rsid w:val="00221A65"/>
    <w:rsid w:val="00232166"/>
    <w:rsid w:val="00236289"/>
    <w:rsid w:val="002422FA"/>
    <w:rsid w:val="002622D2"/>
    <w:rsid w:val="00276ED6"/>
    <w:rsid w:val="002D06B5"/>
    <w:rsid w:val="002D7037"/>
    <w:rsid w:val="002E7BA3"/>
    <w:rsid w:val="002F4DC3"/>
    <w:rsid w:val="0030591B"/>
    <w:rsid w:val="0031367F"/>
    <w:rsid w:val="003257A8"/>
    <w:rsid w:val="00336D18"/>
    <w:rsid w:val="00336EAA"/>
    <w:rsid w:val="00345935"/>
    <w:rsid w:val="00360F3A"/>
    <w:rsid w:val="00361861"/>
    <w:rsid w:val="0038155E"/>
    <w:rsid w:val="0038778B"/>
    <w:rsid w:val="00391497"/>
    <w:rsid w:val="003A01FF"/>
    <w:rsid w:val="003A4B5D"/>
    <w:rsid w:val="003B4683"/>
    <w:rsid w:val="003E13BB"/>
    <w:rsid w:val="004058A5"/>
    <w:rsid w:val="00455F24"/>
    <w:rsid w:val="004829D0"/>
    <w:rsid w:val="00490956"/>
    <w:rsid w:val="004C5C04"/>
    <w:rsid w:val="004E623D"/>
    <w:rsid w:val="004E6C09"/>
    <w:rsid w:val="005051D7"/>
    <w:rsid w:val="00556635"/>
    <w:rsid w:val="0056309C"/>
    <w:rsid w:val="00586289"/>
    <w:rsid w:val="005A1131"/>
    <w:rsid w:val="005B7569"/>
    <w:rsid w:val="005E071C"/>
    <w:rsid w:val="005E3EAC"/>
    <w:rsid w:val="005E4ACE"/>
    <w:rsid w:val="00605FF4"/>
    <w:rsid w:val="0061470E"/>
    <w:rsid w:val="0063292A"/>
    <w:rsid w:val="00655327"/>
    <w:rsid w:val="0066172A"/>
    <w:rsid w:val="00674A4B"/>
    <w:rsid w:val="006B084E"/>
    <w:rsid w:val="006D4F03"/>
    <w:rsid w:val="00704FD4"/>
    <w:rsid w:val="00707755"/>
    <w:rsid w:val="007305B5"/>
    <w:rsid w:val="00730F59"/>
    <w:rsid w:val="00765544"/>
    <w:rsid w:val="0079282F"/>
    <w:rsid w:val="007B0107"/>
    <w:rsid w:val="007B1B13"/>
    <w:rsid w:val="007C25DA"/>
    <w:rsid w:val="007E491A"/>
    <w:rsid w:val="007F5208"/>
    <w:rsid w:val="007F660F"/>
    <w:rsid w:val="008131C1"/>
    <w:rsid w:val="00853536"/>
    <w:rsid w:val="00872052"/>
    <w:rsid w:val="00872339"/>
    <w:rsid w:val="00880481"/>
    <w:rsid w:val="00891911"/>
    <w:rsid w:val="008C004E"/>
    <w:rsid w:val="008D5C43"/>
    <w:rsid w:val="008E0B7A"/>
    <w:rsid w:val="008E1C19"/>
    <w:rsid w:val="00917632"/>
    <w:rsid w:val="009310D8"/>
    <w:rsid w:val="009532BD"/>
    <w:rsid w:val="0096227C"/>
    <w:rsid w:val="009629DB"/>
    <w:rsid w:val="00980E6A"/>
    <w:rsid w:val="009A3B8D"/>
    <w:rsid w:val="009B255C"/>
    <w:rsid w:val="009C60D6"/>
    <w:rsid w:val="009D4ED6"/>
    <w:rsid w:val="009E3F5A"/>
    <w:rsid w:val="009E7A51"/>
    <w:rsid w:val="009F2F3A"/>
    <w:rsid w:val="00A14329"/>
    <w:rsid w:val="00A32512"/>
    <w:rsid w:val="00A367F9"/>
    <w:rsid w:val="00A407A2"/>
    <w:rsid w:val="00A421C8"/>
    <w:rsid w:val="00A56EDA"/>
    <w:rsid w:val="00A61C7B"/>
    <w:rsid w:val="00A77063"/>
    <w:rsid w:val="00A966DA"/>
    <w:rsid w:val="00AB2A57"/>
    <w:rsid w:val="00AF009F"/>
    <w:rsid w:val="00AF0695"/>
    <w:rsid w:val="00B01768"/>
    <w:rsid w:val="00B14235"/>
    <w:rsid w:val="00B24D18"/>
    <w:rsid w:val="00B632BE"/>
    <w:rsid w:val="00B642C7"/>
    <w:rsid w:val="00B64EE4"/>
    <w:rsid w:val="00B72C17"/>
    <w:rsid w:val="00B741AF"/>
    <w:rsid w:val="00BD50AB"/>
    <w:rsid w:val="00BF020E"/>
    <w:rsid w:val="00C01C94"/>
    <w:rsid w:val="00C1047A"/>
    <w:rsid w:val="00C2655D"/>
    <w:rsid w:val="00C31EE4"/>
    <w:rsid w:val="00C33CC9"/>
    <w:rsid w:val="00C355BE"/>
    <w:rsid w:val="00C3776D"/>
    <w:rsid w:val="00C47B5F"/>
    <w:rsid w:val="00C61721"/>
    <w:rsid w:val="00C81073"/>
    <w:rsid w:val="00CB375B"/>
    <w:rsid w:val="00CC281D"/>
    <w:rsid w:val="00CC2D44"/>
    <w:rsid w:val="00CF127D"/>
    <w:rsid w:val="00D0231E"/>
    <w:rsid w:val="00D10983"/>
    <w:rsid w:val="00D163FF"/>
    <w:rsid w:val="00D54650"/>
    <w:rsid w:val="00D76384"/>
    <w:rsid w:val="00D9471C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A0B91"/>
    <w:rsid w:val="00EC0E9E"/>
    <w:rsid w:val="00EC5FF7"/>
    <w:rsid w:val="00ED0D49"/>
    <w:rsid w:val="00EF298A"/>
    <w:rsid w:val="00EF7EA0"/>
    <w:rsid w:val="00F34908"/>
    <w:rsid w:val="00F4492D"/>
    <w:rsid w:val="00F45BEA"/>
    <w:rsid w:val="00F56F04"/>
    <w:rsid w:val="00F83FAE"/>
    <w:rsid w:val="00F9129C"/>
    <w:rsid w:val="00F951F0"/>
    <w:rsid w:val="00F95953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paragraph" w:customStyle="1" w:styleId="Texte-Pieddepage">
    <w:name w:val="Texte - Pied de page"/>
    <w:basedOn w:val="Normal"/>
    <w:rsid w:val="00EC5FF7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7948-A3D4-448B-BB34-8B94728C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PINATEL-IGOA, Florence (DICOM/BUREAU DE LA COMMUNICATION DIGITALE)</cp:lastModifiedBy>
  <cp:revision>2</cp:revision>
  <cp:lastPrinted>2021-01-29T19:20:00Z</cp:lastPrinted>
  <dcterms:created xsi:type="dcterms:W3CDTF">2021-02-06T08:46:00Z</dcterms:created>
  <dcterms:modified xsi:type="dcterms:W3CDTF">2021-02-06T08:46:00Z</dcterms:modified>
</cp:coreProperties>
</file>