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CF011F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>Paris, le 1</w:t>
      </w:r>
      <w:r w:rsidRPr="00CF011F">
        <w:rPr>
          <w:sz w:val="20"/>
          <w:vertAlign w:val="superscript"/>
        </w:rPr>
        <w:t>er</w:t>
      </w:r>
      <w:r>
        <w:rPr>
          <w:sz w:val="20"/>
        </w:rPr>
        <w:t xml:space="preserve"> 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CF011F">
      <w:pPr>
        <w:pStyle w:val="Titre1"/>
        <w:ind w:right="57"/>
      </w:pPr>
      <w:r>
        <w:t>Au 1</w:t>
      </w:r>
      <w:r w:rsidRPr="00CF011F">
        <w:rPr>
          <w:vertAlign w:val="superscript"/>
        </w:rPr>
        <w:t>er</w:t>
      </w:r>
      <w:r>
        <w:t xml:space="preserve"> juin</w:t>
      </w:r>
      <w:r w:rsidR="00AA4497">
        <w:t xml:space="preserve"> </w:t>
      </w:r>
      <w:r w:rsidR="00AA4497" w:rsidRPr="00FA7FAC">
        <w:t>2021</w:t>
      </w:r>
      <w:r w:rsidR="00AA4497" w:rsidRPr="00662F76">
        <w:t xml:space="preserve">, </w:t>
      </w:r>
      <w:r w:rsidR="004D016D" w:rsidRPr="00662F76">
        <w:t>près</w:t>
      </w:r>
      <w:r w:rsidR="00702284" w:rsidRPr="00662F76">
        <w:t xml:space="preserve"> de </w:t>
      </w:r>
      <w:r w:rsidR="00662F76" w:rsidRPr="00662F76">
        <w:t>37</w:t>
      </w:r>
      <w:r w:rsidR="00702284" w:rsidRPr="00662F76">
        <w:t> </w:t>
      </w:r>
      <w:r w:rsidR="00662F76" w:rsidRPr="00662F76">
        <w:t>4</w:t>
      </w:r>
      <w:r w:rsidR="00D0399C" w:rsidRPr="00662F76">
        <w:t>00</w:t>
      </w:r>
      <w:r w:rsidR="009B0CF3" w:rsidRPr="00662F76">
        <w:t> </w:t>
      </w:r>
      <w:r w:rsidR="008B505B" w:rsidRPr="00662F76">
        <w:t>0</w:t>
      </w:r>
      <w:r w:rsidR="00702284" w:rsidRPr="00662F76">
        <w:t>0</w:t>
      </w:r>
      <w:r w:rsidR="0048107C" w:rsidRPr="00662F76">
        <w:t>0</w:t>
      </w:r>
      <w:r w:rsidR="009B0CF3" w:rsidRPr="00662F76">
        <w:t xml:space="preserve"> </w:t>
      </w:r>
      <w:r w:rsidR="00756583" w:rsidRPr="00662F76">
        <w:t>injections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194"/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F22BA7" w:rsidRPr="00F22BA7">
        <w:rPr>
          <w:rFonts w:asciiTheme="minorHAnsi" w:hAnsiTheme="minorHAnsi" w:cstheme="minorHAnsi"/>
          <w:color w:val="auto"/>
          <w:sz w:val="20"/>
          <w:szCs w:val="20"/>
        </w:rPr>
        <w:t>26 176 709</w:t>
      </w:r>
      <w:r w:rsidR="004D016D" w:rsidRPr="00F22B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Pr="00A4052F">
        <w:rPr>
          <w:rFonts w:asciiTheme="minorHAnsi" w:hAnsiTheme="minorHAnsi" w:cstheme="minorHAnsi"/>
          <w:sz w:val="20"/>
          <w:szCs w:val="20"/>
        </w:rPr>
        <w:t xml:space="preserve"> ont reçu a</w:t>
      </w:r>
      <w:r w:rsidR="00AA4497" w:rsidRPr="00A4052F">
        <w:rPr>
          <w:rFonts w:asciiTheme="minorHAnsi" w:hAnsiTheme="minorHAnsi" w:cstheme="minorHAnsi"/>
          <w:sz w:val="20"/>
          <w:szCs w:val="20"/>
        </w:rPr>
        <w:t>u moins une injection (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F22BA7" w:rsidRPr="00F22BA7">
        <w:rPr>
          <w:rFonts w:asciiTheme="minorHAnsi" w:hAnsiTheme="minorHAnsi" w:cstheme="minorHAnsi"/>
          <w:sz w:val="20"/>
          <w:szCs w:val="20"/>
        </w:rPr>
        <w:t>39,1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F22BA7" w:rsidRPr="00F22BA7">
        <w:rPr>
          <w:rFonts w:asciiTheme="minorHAnsi" w:hAnsiTheme="minorHAnsi" w:cstheme="minorHAnsi"/>
          <w:sz w:val="20"/>
          <w:szCs w:val="20"/>
        </w:rPr>
        <w:t>49,8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majeure) et </w:t>
      </w:r>
      <w:r w:rsidR="00F22BA7" w:rsidRPr="00F22BA7">
        <w:rPr>
          <w:rFonts w:asciiTheme="minorHAnsi" w:hAnsiTheme="minorHAnsi" w:cstheme="minorHAnsi"/>
          <w:color w:val="auto"/>
          <w:sz w:val="20"/>
          <w:szCs w:val="20"/>
        </w:rPr>
        <w:t>11 220 050</w:t>
      </w:r>
      <w:r w:rsidR="004D016D" w:rsidRPr="00F22B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F22BA7" w:rsidRPr="00F22BA7">
        <w:rPr>
          <w:rFonts w:asciiTheme="minorHAnsi" w:hAnsiTheme="minorHAnsi" w:cstheme="minorHAnsi"/>
          <w:sz w:val="20"/>
          <w:szCs w:val="20"/>
        </w:rPr>
        <w:t>16,7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F22BA7" w:rsidRPr="00F22BA7">
        <w:rPr>
          <w:rFonts w:asciiTheme="minorHAnsi" w:hAnsiTheme="minorHAnsi" w:cstheme="minorHAnsi"/>
          <w:sz w:val="20"/>
          <w:szCs w:val="20"/>
        </w:rPr>
        <w:t>21,4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mai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F22BA7" w:rsidRPr="00A4052F" w:rsidTr="00AE39BD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A7" w:rsidRPr="00A4052F" w:rsidRDefault="00F22BA7" w:rsidP="00F22BA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rFonts w:eastAsiaTheme="minorHAnsi"/>
                <w:color w:val="auto"/>
              </w:rPr>
            </w:pPr>
            <w:r w:rsidRPr="00F22BA7">
              <w:rPr>
                <w:color w:val="auto"/>
              </w:rPr>
              <w:t>413 113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rFonts w:eastAsiaTheme="minorHAnsi"/>
                <w:color w:val="auto"/>
              </w:rPr>
            </w:pPr>
            <w:r w:rsidRPr="00F22BA7">
              <w:rPr>
                <w:color w:val="auto"/>
              </w:rPr>
              <w:t>413 113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rFonts w:eastAsiaTheme="minorHAnsi"/>
                <w:color w:val="auto"/>
              </w:rPr>
            </w:pPr>
            <w:r w:rsidRPr="00F22BA7">
              <w:rPr>
                <w:color w:val="auto"/>
              </w:rPr>
              <w:t>26 176 709</w:t>
            </w:r>
          </w:p>
        </w:tc>
      </w:tr>
      <w:tr w:rsidR="00F22BA7" w:rsidRPr="00A4052F" w:rsidTr="00AE39BD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A7" w:rsidRPr="00A4052F" w:rsidRDefault="00F22BA7" w:rsidP="00F22BA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color w:val="auto"/>
              </w:rPr>
            </w:pPr>
            <w:r w:rsidRPr="00F22BA7">
              <w:rPr>
                <w:color w:val="auto"/>
              </w:rPr>
              <w:t>248 278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color w:val="auto"/>
              </w:rPr>
            </w:pPr>
            <w:r w:rsidRPr="00F22BA7">
              <w:rPr>
                <w:color w:val="auto"/>
              </w:rPr>
              <w:t>248 278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color w:val="auto"/>
              </w:rPr>
            </w:pPr>
            <w:r w:rsidRPr="00F22BA7">
              <w:rPr>
                <w:color w:val="auto"/>
              </w:rPr>
              <w:t>11 220 050</w:t>
            </w:r>
          </w:p>
        </w:tc>
      </w:tr>
      <w:tr w:rsidR="00F22BA7" w:rsidRPr="00A4052F" w:rsidTr="00AE39BD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A7" w:rsidRPr="00A4052F" w:rsidRDefault="00F22BA7" w:rsidP="00F22BA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b/>
                <w:bCs/>
                <w:color w:val="auto"/>
              </w:rPr>
            </w:pPr>
            <w:r w:rsidRPr="00F22BA7">
              <w:rPr>
                <w:b/>
                <w:bCs/>
                <w:color w:val="auto"/>
              </w:rPr>
              <w:t>661 391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b/>
                <w:bCs/>
                <w:color w:val="auto"/>
              </w:rPr>
            </w:pPr>
            <w:r w:rsidRPr="00F22BA7">
              <w:rPr>
                <w:b/>
                <w:bCs/>
                <w:color w:val="auto"/>
              </w:rPr>
              <w:t>661 391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A7" w:rsidRPr="00F22BA7" w:rsidRDefault="00F22BA7" w:rsidP="00F22BA7">
            <w:pPr>
              <w:jc w:val="right"/>
              <w:rPr>
                <w:b/>
                <w:bCs/>
                <w:color w:val="auto"/>
              </w:rPr>
            </w:pPr>
            <w:r w:rsidRPr="00F22BA7">
              <w:rPr>
                <w:b/>
                <w:bCs/>
                <w:color w:val="auto"/>
              </w:rPr>
              <w:t>37 396 759</w:t>
            </w:r>
          </w:p>
        </w:tc>
      </w:tr>
    </w:tbl>
    <w:p w:rsidR="00427386" w:rsidRPr="00A4052F" w:rsidRDefault="00756583" w:rsidP="002C1B9B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Chez un pharmacien, un médecin de ville (médecin généraliste, médecin spécialiste, ou médecin du travail) ou une infirmière pour les publics éligibles au vaccin AstraZeneca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4B" w:rsidRDefault="00EA6B4B">
      <w:pPr>
        <w:spacing w:after="0" w:line="240" w:lineRule="auto"/>
      </w:pPr>
      <w:r>
        <w:separator/>
      </w:r>
    </w:p>
  </w:endnote>
  <w:endnote w:type="continuationSeparator" w:id="0">
    <w:p w:rsidR="00EA6B4B" w:rsidRDefault="00EA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4B" w:rsidRDefault="00EA6B4B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EA6B4B" w:rsidRDefault="00EA6B4B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B0E5E"/>
    <w:rsid w:val="001B1700"/>
    <w:rsid w:val="001D20C1"/>
    <w:rsid w:val="001D597C"/>
    <w:rsid w:val="001E6CEA"/>
    <w:rsid w:val="00214381"/>
    <w:rsid w:val="00253CFE"/>
    <w:rsid w:val="002716F5"/>
    <w:rsid w:val="0028115A"/>
    <w:rsid w:val="002A7C73"/>
    <w:rsid w:val="002C1B9B"/>
    <w:rsid w:val="003109BE"/>
    <w:rsid w:val="00311D31"/>
    <w:rsid w:val="00331ECA"/>
    <w:rsid w:val="003358B6"/>
    <w:rsid w:val="003617A8"/>
    <w:rsid w:val="003743E1"/>
    <w:rsid w:val="00376207"/>
    <w:rsid w:val="003903F1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34F89"/>
    <w:rsid w:val="006362CA"/>
    <w:rsid w:val="006416B7"/>
    <w:rsid w:val="00643EB0"/>
    <w:rsid w:val="00661CC8"/>
    <w:rsid w:val="00662F76"/>
    <w:rsid w:val="00670EFE"/>
    <w:rsid w:val="00675557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71844"/>
    <w:rsid w:val="007A00FF"/>
    <w:rsid w:val="007C2E3F"/>
    <w:rsid w:val="00810215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72BA6"/>
    <w:rsid w:val="00980F3C"/>
    <w:rsid w:val="009B0CF3"/>
    <w:rsid w:val="009D4094"/>
    <w:rsid w:val="009E7076"/>
    <w:rsid w:val="00A21C24"/>
    <w:rsid w:val="00A4052F"/>
    <w:rsid w:val="00A832AD"/>
    <w:rsid w:val="00A8685D"/>
    <w:rsid w:val="00A95D0D"/>
    <w:rsid w:val="00AA4497"/>
    <w:rsid w:val="00AD053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72055"/>
    <w:rsid w:val="00C732C7"/>
    <w:rsid w:val="00CA753C"/>
    <w:rsid w:val="00CC7169"/>
    <w:rsid w:val="00CE28BE"/>
    <w:rsid w:val="00CE6E93"/>
    <w:rsid w:val="00CF011F"/>
    <w:rsid w:val="00CF4F59"/>
    <w:rsid w:val="00D0399C"/>
    <w:rsid w:val="00D0490E"/>
    <w:rsid w:val="00D21B20"/>
    <w:rsid w:val="00D532CD"/>
    <w:rsid w:val="00D91B9A"/>
    <w:rsid w:val="00DC71EC"/>
    <w:rsid w:val="00E33AD0"/>
    <w:rsid w:val="00EA6B4B"/>
    <w:rsid w:val="00EF3CA4"/>
    <w:rsid w:val="00EF4DEF"/>
    <w:rsid w:val="00F22BA7"/>
    <w:rsid w:val="00F5635B"/>
    <w:rsid w:val="00F626C6"/>
    <w:rsid w:val="00F733C0"/>
    <w:rsid w:val="00FA319D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GRAZIANI, Elodie</cp:lastModifiedBy>
  <cp:revision>2</cp:revision>
  <cp:lastPrinted>2021-05-23T16:25:00Z</cp:lastPrinted>
  <dcterms:created xsi:type="dcterms:W3CDTF">2021-06-01T18:11:00Z</dcterms:created>
  <dcterms:modified xsi:type="dcterms:W3CDTF">2021-06-01T18:11:00Z</dcterms:modified>
</cp:coreProperties>
</file>