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1D8EB666"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925126">
        <w:rPr>
          <w:rFonts w:cstheme="minorHAnsi"/>
        </w:rPr>
        <w:t>03</w:t>
      </w:r>
      <w:r w:rsidR="004954B7">
        <w:rPr>
          <w:rFonts w:cstheme="minorHAnsi"/>
        </w:rPr>
        <w:t xml:space="preserve"> mai</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1443CD2C"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925126">
        <w:rPr>
          <w:rFonts w:cstheme="minorHAnsi"/>
          <w:b/>
        </w:rPr>
        <w:t>03</w:t>
      </w:r>
      <w:r w:rsidR="004954B7">
        <w:rPr>
          <w:rFonts w:cstheme="minorHAnsi"/>
          <w:b/>
        </w:rPr>
        <w:t xml:space="preserve"> mai</w:t>
      </w:r>
      <w:r w:rsidR="00EF7EA0" w:rsidRPr="002452F2">
        <w:rPr>
          <w:rFonts w:cstheme="minorHAnsi"/>
          <w:b/>
        </w:rPr>
        <w:t xml:space="preserve"> 2021, </w:t>
      </w:r>
      <w:r w:rsidR="00CF448E">
        <w:rPr>
          <w:rFonts w:cstheme="minorHAnsi"/>
          <w:b/>
          <w:bCs/>
        </w:rPr>
        <w:t>plu</w:t>
      </w:r>
      <w:r w:rsidR="00607A3D" w:rsidRPr="00800B6D">
        <w:rPr>
          <w:rFonts w:cstheme="minorHAnsi"/>
          <w:b/>
          <w:bCs/>
        </w:rPr>
        <w:t>s</w:t>
      </w:r>
      <w:r w:rsidR="00F57F35" w:rsidRPr="00800B6D">
        <w:rPr>
          <w:rFonts w:cstheme="minorHAnsi"/>
          <w:b/>
          <w:bCs/>
        </w:rPr>
        <w:t xml:space="preserve"> de</w:t>
      </w:r>
      <w:r w:rsidR="00F57F35" w:rsidRPr="00800B6D">
        <w:rPr>
          <w:b/>
          <w:bCs/>
          <w:lang w:eastAsia="fr-FR"/>
        </w:rPr>
        <w:t xml:space="preserve"> </w:t>
      </w:r>
      <w:r w:rsidR="00874579">
        <w:rPr>
          <w:b/>
          <w:bCs/>
          <w:lang w:eastAsia="fr-FR"/>
        </w:rPr>
        <w:t>22</w:t>
      </w:r>
      <w:r w:rsidR="004954B7">
        <w:rPr>
          <w:b/>
          <w:bCs/>
          <w:lang w:eastAsia="fr-FR"/>
        </w:rPr>
        <w:t> </w:t>
      </w:r>
      <w:r w:rsidR="00925126">
        <w:rPr>
          <w:b/>
          <w:bCs/>
          <w:lang w:eastAsia="fr-FR"/>
        </w:rPr>
        <w:t>82</w:t>
      </w:r>
      <w:r w:rsidR="00CF448E">
        <w:rPr>
          <w:b/>
          <w:bCs/>
          <w:lang w:eastAsia="fr-FR"/>
        </w:rPr>
        <w:t>0</w:t>
      </w:r>
      <w:r w:rsidR="004954B7">
        <w:rPr>
          <w:b/>
          <w:bCs/>
          <w:lang w:eastAsia="fr-FR"/>
        </w:rPr>
        <w:t xml:space="preserve"> </w:t>
      </w:r>
      <w:r w:rsidR="00874579">
        <w:rPr>
          <w:b/>
          <w:bCs/>
          <w:lang w:eastAsia="fr-FR"/>
        </w:rPr>
        <w:t>000</w:t>
      </w:r>
      <w:r w:rsidR="00964EEA">
        <w:rPr>
          <w:b/>
          <w:bCs/>
          <w:lang w:eastAsia="fr-FR"/>
        </w:rPr>
        <w:t xml:space="preserve"> </w:t>
      </w:r>
      <w:r w:rsidR="003B4945" w:rsidRPr="002452F2">
        <w:rPr>
          <w:rFonts w:cstheme="minorHAnsi"/>
          <w:b/>
        </w:rPr>
        <w:t>injections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3EF56863"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925126">
        <w:t>16 133 547</w:t>
      </w:r>
      <w:r w:rsidR="00DE340A" w:rsidRPr="002452F2">
        <w:t xml:space="preserve"> </w:t>
      </w:r>
      <w:r w:rsidR="000A6E75" w:rsidRPr="002452F2">
        <w:rPr>
          <w:rFonts w:cstheme="minorHAnsi"/>
          <w:bCs/>
        </w:rPr>
        <w:t>p</w:t>
      </w:r>
      <w:r w:rsidR="00181B28" w:rsidRPr="002452F2">
        <w:rPr>
          <w:rFonts w:cstheme="minorHAnsi"/>
          <w:bCs/>
        </w:rPr>
        <w:t xml:space="preserve">ersonnes ont reçu au moins une </w:t>
      </w:r>
      <w:r w:rsidRPr="00800B6D">
        <w:rPr>
          <w:rFonts w:cstheme="minorHAnsi"/>
          <w:bCs/>
        </w:rPr>
        <w:t>injection</w:t>
      </w:r>
      <w:r w:rsidR="002E1108" w:rsidRPr="00800B6D">
        <w:rPr>
          <w:rFonts w:cstheme="minorHAnsi"/>
          <w:bCs/>
        </w:rPr>
        <w:t xml:space="preserve"> (soit </w:t>
      </w:r>
      <w:r w:rsidR="00925126">
        <w:rPr>
          <w:rFonts w:cstheme="minorHAnsi"/>
          <w:bCs/>
        </w:rPr>
        <w:t>24,1</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190956">
        <w:rPr>
          <w:rFonts w:cstheme="minorHAnsi"/>
          <w:bCs/>
        </w:rPr>
        <w:t>30</w:t>
      </w:r>
      <w:r w:rsidR="00925126">
        <w:rPr>
          <w:rFonts w:cstheme="minorHAnsi"/>
          <w:bCs/>
        </w:rPr>
        <w:t>,7</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925126">
        <w:t>6 688 302</w:t>
      </w:r>
      <w:r w:rsidR="00874579">
        <w:rPr>
          <w:lang w:eastAsia="fr-FR"/>
        </w:rPr>
        <w:t xml:space="preserve">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925126">
        <w:rPr>
          <w:rFonts w:cstheme="minorHAnsi"/>
          <w:bCs/>
        </w:rPr>
        <w:t>10</w:t>
      </w:r>
      <w:r w:rsidR="00110460" w:rsidRPr="00800B6D">
        <w:rPr>
          <w:rFonts w:cstheme="minorHAnsi"/>
          <w:bCs/>
        </w:rPr>
        <w:t xml:space="preserve"> </w:t>
      </w:r>
      <w:r w:rsidR="003B4945" w:rsidRPr="00800B6D">
        <w:rPr>
          <w:rFonts w:cstheme="minorHAnsi"/>
          <w:bCs/>
        </w:rPr>
        <w:t xml:space="preserve">% de la </w:t>
      </w:r>
      <w:r w:rsidR="001B6EF0" w:rsidRPr="00800B6D">
        <w:rPr>
          <w:rFonts w:cstheme="minorHAnsi"/>
          <w:bCs/>
        </w:rPr>
        <w:t>population totale et</w:t>
      </w:r>
      <w:r w:rsidR="000A6E75" w:rsidRPr="00800B6D">
        <w:rPr>
          <w:rFonts w:cstheme="minorHAnsi"/>
          <w:bCs/>
        </w:rPr>
        <w:t xml:space="preserve"> </w:t>
      </w:r>
      <w:r w:rsidR="00874579">
        <w:rPr>
          <w:rFonts w:cstheme="minorHAnsi"/>
          <w:bCs/>
        </w:rPr>
        <w:t>12,</w:t>
      </w:r>
      <w:r w:rsidR="00925126">
        <w:rPr>
          <w:rFonts w:cstheme="minorHAnsi"/>
          <w:bCs/>
        </w:rPr>
        <w:t>7</w:t>
      </w:r>
      <w:r w:rsidR="00964EEA" w:rsidRPr="00800B6D">
        <w:rPr>
          <w:rFonts w:cstheme="minorHAnsi"/>
          <w:bCs/>
        </w:rPr>
        <w:t xml:space="preserve"> </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46B6A6AE" w:rsidR="000E29D2" w:rsidRPr="00180752" w:rsidRDefault="00F357AD" w:rsidP="000E3E0D">
            <w:pPr>
              <w:rPr>
                <w:rFonts w:cstheme="minorHAnsi"/>
                <w:b/>
              </w:rPr>
            </w:pPr>
            <w:r>
              <w:rPr>
                <w:rFonts w:cstheme="minorHAnsi"/>
                <w:b/>
              </w:rPr>
              <w:t>Cumul au mois de mai</w:t>
            </w:r>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CF448E" w:rsidRPr="00180752" w14:paraId="1B5F5A99" w14:textId="77777777" w:rsidTr="004C007E">
        <w:tc>
          <w:tcPr>
            <w:tcW w:w="1838" w:type="dxa"/>
          </w:tcPr>
          <w:p w14:paraId="73B8DAE7" w14:textId="77777777" w:rsidR="00CF448E" w:rsidRPr="00180752" w:rsidRDefault="00CF448E" w:rsidP="00CF448E">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tcPr>
          <w:p w14:paraId="15B2BD17" w14:textId="5CDEEF3B" w:rsidR="00CF448E" w:rsidRPr="00925126" w:rsidRDefault="00925126" w:rsidP="00CF448E">
            <w:pPr>
              <w:jc w:val="right"/>
              <w:rPr>
                <w:rFonts w:cstheme="minorHAnsi"/>
                <w:bCs/>
              </w:rPr>
            </w:pPr>
            <w:r w:rsidRPr="00925126">
              <w:rPr>
                <w:rFonts w:cstheme="minorHAnsi"/>
                <w:bCs/>
              </w:rPr>
              <w:t>267 703</w:t>
            </w:r>
          </w:p>
        </w:tc>
        <w:tc>
          <w:tcPr>
            <w:tcW w:w="2408" w:type="dxa"/>
          </w:tcPr>
          <w:p w14:paraId="050CE7DC" w14:textId="2A08744D" w:rsidR="00CF448E" w:rsidRPr="00B278F7" w:rsidRDefault="00925126" w:rsidP="00CF448E">
            <w:pPr>
              <w:jc w:val="right"/>
              <w:rPr>
                <w:highlight w:val="yellow"/>
                <w:lang w:eastAsia="fr-FR"/>
              </w:rPr>
            </w:pPr>
            <w:r>
              <w:t>508 404</w:t>
            </w:r>
          </w:p>
        </w:tc>
        <w:tc>
          <w:tcPr>
            <w:tcW w:w="2408" w:type="dxa"/>
          </w:tcPr>
          <w:p w14:paraId="5B27A7DB" w14:textId="1A4A5DCD" w:rsidR="00CF448E" w:rsidRPr="00925126" w:rsidRDefault="00925126" w:rsidP="00CF448E">
            <w:pPr>
              <w:jc w:val="right"/>
              <w:rPr>
                <w:rFonts w:cstheme="minorHAnsi"/>
              </w:rPr>
            </w:pPr>
            <w:r w:rsidRPr="00925126">
              <w:rPr>
                <w:rFonts w:cstheme="minorHAnsi"/>
              </w:rPr>
              <w:t>16 133 547</w:t>
            </w:r>
          </w:p>
        </w:tc>
      </w:tr>
      <w:tr w:rsidR="00CF448E" w:rsidRPr="00180752" w14:paraId="2DC47C32" w14:textId="77777777" w:rsidTr="004C007E">
        <w:tc>
          <w:tcPr>
            <w:tcW w:w="1838" w:type="dxa"/>
            <w:tcBorders>
              <w:bottom w:val="single" w:sz="4" w:space="0" w:color="auto"/>
            </w:tcBorders>
          </w:tcPr>
          <w:p w14:paraId="3423517C" w14:textId="77777777" w:rsidR="00CF448E" w:rsidRPr="00180752" w:rsidRDefault="00CF448E" w:rsidP="00CF448E">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tcPr>
          <w:p w14:paraId="49F9DAD6" w14:textId="4209D2FA" w:rsidR="00CF448E" w:rsidRPr="00925126" w:rsidRDefault="00925126" w:rsidP="00CF448E">
            <w:pPr>
              <w:jc w:val="right"/>
              <w:rPr>
                <w:rFonts w:cstheme="minorHAnsi"/>
              </w:rPr>
            </w:pPr>
            <w:r w:rsidRPr="00925126">
              <w:rPr>
                <w:rFonts w:cstheme="minorHAnsi"/>
              </w:rPr>
              <w:t>150 768</w:t>
            </w:r>
          </w:p>
        </w:tc>
        <w:tc>
          <w:tcPr>
            <w:tcW w:w="2408" w:type="dxa"/>
            <w:tcBorders>
              <w:bottom w:val="single" w:sz="4" w:space="0" w:color="auto"/>
            </w:tcBorders>
          </w:tcPr>
          <w:p w14:paraId="114D26F3" w14:textId="4C065BA3" w:rsidR="00CF448E" w:rsidRPr="00B278F7" w:rsidRDefault="00925126" w:rsidP="00CF448E">
            <w:pPr>
              <w:jc w:val="right"/>
              <w:rPr>
                <w:highlight w:val="yellow"/>
                <w:lang w:eastAsia="fr-FR"/>
              </w:rPr>
            </w:pPr>
            <w:r>
              <w:t>276 460</w:t>
            </w:r>
          </w:p>
        </w:tc>
        <w:tc>
          <w:tcPr>
            <w:tcW w:w="2408" w:type="dxa"/>
            <w:tcBorders>
              <w:bottom w:val="single" w:sz="4" w:space="0" w:color="auto"/>
            </w:tcBorders>
          </w:tcPr>
          <w:p w14:paraId="57DBFEA2" w14:textId="5F84D608" w:rsidR="00CF448E" w:rsidRPr="00925126" w:rsidRDefault="00925126" w:rsidP="00CF448E">
            <w:pPr>
              <w:jc w:val="right"/>
              <w:rPr>
                <w:rFonts w:cstheme="minorHAnsi"/>
              </w:rPr>
            </w:pPr>
            <w:r w:rsidRPr="00925126">
              <w:rPr>
                <w:rFonts w:cstheme="minorHAnsi"/>
              </w:rPr>
              <w:t>6 688 302</w:t>
            </w:r>
          </w:p>
        </w:tc>
      </w:tr>
      <w:tr w:rsidR="00CF448E" w:rsidRPr="00180752" w14:paraId="5F8EE4E3" w14:textId="77777777" w:rsidTr="004C007E">
        <w:trPr>
          <w:trHeight w:val="126"/>
        </w:trPr>
        <w:tc>
          <w:tcPr>
            <w:tcW w:w="1838" w:type="dxa"/>
            <w:tcBorders>
              <w:bottom w:val="single" w:sz="4" w:space="0" w:color="auto"/>
            </w:tcBorders>
          </w:tcPr>
          <w:p w14:paraId="65DD60DB" w14:textId="77777777" w:rsidR="00CF448E" w:rsidRPr="00180752" w:rsidRDefault="00CF448E" w:rsidP="00CF448E">
            <w:pPr>
              <w:jc w:val="both"/>
              <w:rPr>
                <w:rFonts w:cstheme="minorHAnsi"/>
                <w:b/>
              </w:rPr>
            </w:pPr>
            <w:r w:rsidRPr="00180752">
              <w:rPr>
                <w:rFonts w:cstheme="minorHAnsi"/>
                <w:b/>
              </w:rPr>
              <w:t>Total</w:t>
            </w:r>
          </w:p>
        </w:tc>
        <w:tc>
          <w:tcPr>
            <w:tcW w:w="2408" w:type="dxa"/>
            <w:tcBorders>
              <w:bottom w:val="single" w:sz="4" w:space="0" w:color="auto"/>
            </w:tcBorders>
          </w:tcPr>
          <w:p w14:paraId="78D99177" w14:textId="415B4EB5" w:rsidR="00CF448E" w:rsidRPr="00925126" w:rsidRDefault="00925126" w:rsidP="00CF448E">
            <w:pPr>
              <w:jc w:val="right"/>
              <w:rPr>
                <w:b/>
                <w:bCs/>
                <w:lang w:eastAsia="fr-FR"/>
              </w:rPr>
            </w:pPr>
            <w:r w:rsidRPr="00925126">
              <w:rPr>
                <w:b/>
                <w:bCs/>
                <w:lang w:eastAsia="fr-FR"/>
              </w:rPr>
              <w:t>418 471</w:t>
            </w:r>
          </w:p>
        </w:tc>
        <w:tc>
          <w:tcPr>
            <w:tcW w:w="2408" w:type="dxa"/>
            <w:tcBorders>
              <w:bottom w:val="single" w:sz="4" w:space="0" w:color="auto"/>
            </w:tcBorders>
          </w:tcPr>
          <w:p w14:paraId="4DAE6F40" w14:textId="56E0DB3F" w:rsidR="00CF448E" w:rsidRPr="00CF448E" w:rsidRDefault="00925126" w:rsidP="00CF448E">
            <w:pPr>
              <w:jc w:val="right"/>
              <w:rPr>
                <w:b/>
                <w:highlight w:val="yellow"/>
                <w:lang w:eastAsia="fr-FR"/>
              </w:rPr>
            </w:pPr>
            <w:r>
              <w:rPr>
                <w:b/>
              </w:rPr>
              <w:t>784 864</w:t>
            </w:r>
          </w:p>
        </w:tc>
        <w:tc>
          <w:tcPr>
            <w:tcW w:w="2408" w:type="dxa"/>
            <w:tcBorders>
              <w:bottom w:val="single" w:sz="4" w:space="0" w:color="auto"/>
            </w:tcBorders>
          </w:tcPr>
          <w:p w14:paraId="37EECF2E" w14:textId="2F6D7EEA" w:rsidR="00CF448E" w:rsidRPr="00925126" w:rsidRDefault="00925126" w:rsidP="00CF448E">
            <w:pPr>
              <w:pStyle w:val="Paragraphedeliste"/>
              <w:ind w:left="852"/>
              <w:jc w:val="right"/>
              <w:rPr>
                <w:b/>
              </w:rPr>
            </w:pPr>
            <w:r w:rsidRPr="00925126">
              <w:rPr>
                <w:b/>
              </w:rPr>
              <w:t>22 821 849</w:t>
            </w:r>
          </w:p>
        </w:tc>
      </w:tr>
    </w:tbl>
    <w:p w14:paraId="742B5F71" w14:textId="0C0CB1B5" w:rsidR="006F20C9" w:rsidRDefault="006F20C9" w:rsidP="00D3449F">
      <w:pPr>
        <w:spacing w:after="0" w:line="240" w:lineRule="auto"/>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07103600" w14:textId="77777777" w:rsidR="00C76DC2" w:rsidRDefault="00C76DC2" w:rsidP="00C76DC2">
      <w:pPr>
        <w:pStyle w:val="Paragraphedeliste"/>
        <w:spacing w:after="0"/>
        <w:ind w:left="284"/>
        <w:jc w:val="both"/>
        <w:rPr>
          <w:rFonts w:cstheme="minorHAnsi"/>
          <w:b/>
          <w:u w:val="single"/>
        </w:rPr>
      </w:pPr>
    </w:p>
    <w:p w14:paraId="19116F85" w14:textId="77777777" w:rsidR="00874579" w:rsidRDefault="00874579" w:rsidP="00874579">
      <w:pPr>
        <w:pStyle w:val="Paragraphedeliste"/>
        <w:numPr>
          <w:ilvl w:val="0"/>
          <w:numId w:val="24"/>
        </w:numPr>
        <w:spacing w:line="252" w:lineRule="auto"/>
        <w:rPr>
          <w:color w:val="000000"/>
        </w:rPr>
      </w:pPr>
      <w:r>
        <w:t>Les personnes âgées de 55 ans et plus</w:t>
      </w:r>
      <w:r>
        <w:rPr>
          <w:color w:val="000000"/>
        </w:rPr>
        <w:t xml:space="preserve"> (</w:t>
      </w:r>
      <w:bookmarkStart w:id="0" w:name="_GoBack"/>
      <w:bookmarkEnd w:id="0"/>
      <w:r>
        <w:rPr>
          <w:color w:val="000000"/>
        </w:rPr>
        <w:t xml:space="preserve">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4CF00F17" w14:textId="77777777" w:rsidR="00874579" w:rsidRDefault="00874579" w:rsidP="00874579">
      <w:pPr>
        <w:pStyle w:val="Paragraphedeliste"/>
        <w:numPr>
          <w:ilvl w:val="0"/>
          <w:numId w:val="24"/>
        </w:numPr>
        <w:spacing w:after="0" w:line="252" w:lineRule="auto"/>
        <w:jc w:val="both"/>
      </w:pPr>
      <w:r>
        <w:lastRenderedPageBreak/>
        <w:t>Les professionnels de santé et intervenants d’établissements de santé ou médico-sociaux (~2,5 millions de personnes) ;</w:t>
      </w:r>
    </w:p>
    <w:p w14:paraId="307FD407" w14:textId="77777777" w:rsidR="00874579" w:rsidRDefault="00874579" w:rsidP="00874579">
      <w:pPr>
        <w:pStyle w:val="Paragraphedeliste"/>
        <w:numPr>
          <w:ilvl w:val="0"/>
          <w:numId w:val="24"/>
        </w:numPr>
        <w:spacing w:after="0" w:line="252" w:lineRule="auto"/>
        <w:jc w:val="both"/>
      </w:pPr>
      <w:r>
        <w:t xml:space="preserve">Les pompiers et aides à domicile au service de personnes handicapées ou âgées (~0,6 million de personnes) ; </w:t>
      </w:r>
    </w:p>
    <w:p w14:paraId="32F5CEE2" w14:textId="45A50807" w:rsidR="00874579" w:rsidRDefault="00874579" w:rsidP="00874579">
      <w:pPr>
        <w:pStyle w:val="Paragraphedeliste"/>
        <w:numPr>
          <w:ilvl w:val="0"/>
          <w:numId w:val="24"/>
        </w:numPr>
        <w:spacing w:after="0" w:line="252" w:lineRule="auto"/>
        <w:jc w:val="both"/>
      </w:pPr>
      <w:r>
        <w:t xml:space="preserve">Les personnes âgées de </w:t>
      </w:r>
      <w:r>
        <w:rPr>
          <w:color w:val="000000"/>
        </w:rPr>
        <w:t>18</w:t>
      </w:r>
      <w:r>
        <w:t xml:space="preserve"> à 54 ans inclus qui présentent des comorbidités (~</w:t>
      </w:r>
      <w:r w:rsidR="00D3449F">
        <w:rPr>
          <w:color w:val="000000"/>
        </w:rPr>
        <w:t>4</w:t>
      </w:r>
      <w:r>
        <w:t>,0 million</w:t>
      </w:r>
      <w:r w:rsidR="00D3449F">
        <w:t>s</w:t>
      </w:r>
      <w:r>
        <w:t xml:space="preserve"> de personnes) ; </w:t>
      </w:r>
    </w:p>
    <w:p w14:paraId="1B0E92BD" w14:textId="77777777" w:rsidR="00874579" w:rsidRDefault="00874579" w:rsidP="00874579">
      <w:pPr>
        <w:pStyle w:val="Paragraphedeliste"/>
        <w:numPr>
          <w:ilvl w:val="0"/>
          <w:numId w:val="24"/>
        </w:numPr>
        <w:spacing w:after="0" w:line="252" w:lineRule="auto"/>
        <w:jc w:val="both"/>
      </w:pPr>
      <w:r>
        <w:t>Les personnes vulnérables à très haut risque de formes graves telles que mentionnées par le conseil d’orientation de la stratégie vaccinale (~0,8 million de personnes) ;</w:t>
      </w:r>
    </w:p>
    <w:p w14:paraId="19201FF3" w14:textId="77777777" w:rsidR="00874579" w:rsidRDefault="00874579" w:rsidP="00874579">
      <w:pPr>
        <w:pStyle w:val="Paragraphedeliste"/>
        <w:numPr>
          <w:ilvl w:val="0"/>
          <w:numId w:val="24"/>
        </w:numPr>
        <w:spacing w:after="0" w:line="252" w:lineRule="auto"/>
        <w:jc w:val="both"/>
      </w:pPr>
      <w:r>
        <w:t xml:space="preserve">Les personnes handicapées vulnérables prises en charge dans les foyers d’accueil médicalisés et les maisons d’accueil spécialisées (&lt; 0,1 million de personnes) ;  </w:t>
      </w:r>
    </w:p>
    <w:p w14:paraId="0076651A" w14:textId="77777777" w:rsidR="00874579" w:rsidRDefault="00874579" w:rsidP="00874579">
      <w:pPr>
        <w:pStyle w:val="Paragraphedeliste"/>
        <w:numPr>
          <w:ilvl w:val="0"/>
          <w:numId w:val="24"/>
        </w:numPr>
        <w:spacing w:after="0" w:line="252" w:lineRule="auto"/>
        <w:jc w:val="both"/>
      </w:pPr>
      <w:r>
        <w:t>Les femmes enceintes à partir du 2</w:t>
      </w:r>
      <w:r>
        <w:rPr>
          <w:vertAlign w:val="superscript"/>
        </w:rPr>
        <w:t>e</w:t>
      </w:r>
      <w:r>
        <w:t xml:space="preserve"> trimestre (~0,6 million de personnes) ; </w:t>
      </w:r>
    </w:p>
    <w:p w14:paraId="59115648" w14:textId="77777777" w:rsidR="00874579" w:rsidRDefault="00874579" w:rsidP="00874579">
      <w:pPr>
        <w:pStyle w:val="Paragraphedeliste"/>
        <w:numPr>
          <w:ilvl w:val="0"/>
          <w:numId w:val="24"/>
        </w:numPr>
        <w:spacing w:after="0" w:line="252" w:lineRule="auto"/>
        <w:jc w:val="both"/>
      </w:pPr>
      <w:r>
        <w:t xml:space="preserve">Les proches d’une personne immunodéprimée : à savoir les aidants, les conjoints et les personnes vivant sous le même toit (~0,3 million de personnes). </w:t>
      </w:r>
    </w:p>
    <w:p w14:paraId="4C11EB0F" w14:textId="53E9AC41" w:rsidR="006A2242" w:rsidRDefault="006A2242" w:rsidP="00746B66">
      <w:pPr>
        <w:spacing w:after="0"/>
        <w:jc w:val="both"/>
        <w:rPr>
          <w:rFonts w:cstheme="minorHAnsi"/>
          <w:bCs/>
        </w:rPr>
      </w:pP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lastRenderedPageBreak/>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78B7AB15" w14:textId="5E0A338F" w:rsidR="006A2242" w:rsidRDefault="00DC1E37" w:rsidP="00844A96">
      <w:pPr>
        <w:spacing w:after="0"/>
        <w:jc w:val="both"/>
        <w:rPr>
          <w:rFonts w:cstheme="minorHAnsi"/>
          <w:bCs/>
        </w:rPr>
      </w:pPr>
      <w:r w:rsidRPr="00DC1E37">
        <w:rPr>
          <w:rFonts w:cstheme="minorHAnsi"/>
          <w:bCs/>
        </w:rPr>
        <w:t>Par ailleurs, pour faciliter la vaccination de certains professionnels considérés comme plus exposés au virus, des créneaux dé</w:t>
      </w:r>
      <w:r w:rsidR="0064148A">
        <w:rPr>
          <w:rFonts w:cstheme="minorHAnsi"/>
          <w:bCs/>
        </w:rPr>
        <w:t xml:space="preserve">diés pour les plus de 55 ans </w:t>
      </w:r>
      <w:r w:rsidRPr="00DC1E37">
        <w:rPr>
          <w:rFonts w:cstheme="minorHAnsi"/>
          <w:bCs/>
        </w:rPr>
        <w:t>ont</w:t>
      </w:r>
      <w:r w:rsidR="008B6E6E">
        <w:rPr>
          <w:rFonts w:cstheme="minorHAnsi"/>
          <w:bCs/>
        </w:rPr>
        <w:t xml:space="preserve"> été</w:t>
      </w:r>
      <w:r w:rsidRPr="00DC1E37">
        <w:rPr>
          <w:rFonts w:cstheme="minorHAnsi"/>
          <w:bCs/>
        </w:rPr>
        <w:t xml:space="preserve"> ouverts dans plusieurs centres du territoire national. </w:t>
      </w:r>
    </w:p>
    <w:p w14:paraId="4868E7BD" w14:textId="77777777" w:rsidR="00D3449F" w:rsidRDefault="00D3449F" w:rsidP="00844A96">
      <w:pPr>
        <w:spacing w:after="0"/>
        <w:jc w:val="both"/>
        <w:rPr>
          <w:rFonts w:cstheme="minorHAnsi"/>
          <w:bCs/>
        </w:rPr>
      </w:pPr>
    </w:p>
    <w:p w14:paraId="7FB8AD8D" w14:textId="2CAF913C" w:rsidR="006A2242" w:rsidRDefault="00925126" w:rsidP="00844A96">
      <w:pPr>
        <w:spacing w:after="0"/>
        <w:jc w:val="both"/>
        <w:rPr>
          <w:rFonts w:cstheme="minorHAnsi"/>
          <w:b/>
          <w:bCs/>
        </w:rPr>
      </w:pPr>
      <w:hyperlink r:id="rId10" w:anchor="liste-prio" w:history="1">
        <w:r w:rsidR="006A2242" w:rsidRPr="006A2242">
          <w:rPr>
            <w:rStyle w:val="Lienhypertexte"/>
            <w:rFonts w:cstheme="minorHAnsi"/>
            <w:b/>
            <w:bCs/>
          </w:rPr>
          <w:t xml:space="preserve">Liste des professionnels de 55 ans et plus pouvant bénéficier de </w:t>
        </w:r>
        <w:r w:rsidR="006A2242">
          <w:rPr>
            <w:rStyle w:val="Lienhypertexte"/>
            <w:rFonts w:cstheme="minorHAnsi"/>
            <w:b/>
            <w:bCs/>
          </w:rPr>
          <w:t xml:space="preserve">ces </w:t>
        </w:r>
        <w:r w:rsidR="006A2242" w:rsidRPr="006A2242">
          <w:rPr>
            <w:rStyle w:val="Lienhypertexte"/>
            <w:rFonts w:cstheme="minorHAnsi"/>
            <w:b/>
            <w:bCs/>
          </w:rPr>
          <w:t>créneaux de vaccination dédiés</w:t>
        </w:r>
      </w:hyperlink>
      <w:r w:rsidR="006A2242" w:rsidRPr="006A2242">
        <w:rPr>
          <w:rFonts w:cstheme="minorHAnsi"/>
          <w:b/>
          <w:bCs/>
        </w:rPr>
        <w:t xml:space="preserve"> </w:t>
      </w:r>
    </w:p>
    <w:p w14:paraId="666382C3" w14:textId="129C561F" w:rsidR="00874579" w:rsidRDefault="00874579" w:rsidP="00844A96">
      <w:pPr>
        <w:spacing w:after="0"/>
        <w:jc w:val="both"/>
        <w:rPr>
          <w:rFonts w:cstheme="minorHAnsi"/>
          <w:b/>
          <w:bCs/>
        </w:rPr>
      </w:pPr>
    </w:p>
    <w:p w14:paraId="7A6961F8" w14:textId="7B8F21FC" w:rsidR="008F2C0D" w:rsidRDefault="008F2C0D" w:rsidP="00844A96">
      <w:pPr>
        <w:spacing w:after="0"/>
        <w:jc w:val="both"/>
      </w:pPr>
      <w:r>
        <w:rPr>
          <w:rFonts w:cstheme="minorHAnsi"/>
          <w:bCs/>
        </w:rPr>
        <w:t>Sur déclaration de leur(s) comorbidité(s), l</w:t>
      </w:r>
      <w:r w:rsidR="00874579">
        <w:rPr>
          <w:rFonts w:cstheme="minorHAnsi"/>
          <w:bCs/>
        </w:rPr>
        <w:t xml:space="preserve">es personnes âgées de 18 à 54 ans </w:t>
      </w:r>
      <w:r w:rsidR="00874579">
        <w:t xml:space="preserve">présentant </w:t>
      </w:r>
      <w:r w:rsidR="00D6567C">
        <w:t>un</w:t>
      </w:r>
      <w:r w:rsidR="00D3449F">
        <w:t>e</w:t>
      </w:r>
      <w:r w:rsidR="00D6567C">
        <w:t xml:space="preserve"> ou plusieurs </w:t>
      </w:r>
      <w:r w:rsidR="00874579">
        <w:t xml:space="preserve">comorbidités peuvent </w:t>
      </w:r>
      <w:r w:rsidR="00874579" w:rsidRPr="00874579">
        <w:t>prendre rendez-vous en centre de vaccination selon les modalités habituelles déjà en vigueur pour les personnes âgées de plus de 50 a</w:t>
      </w:r>
      <w:r>
        <w:t>ns présentant ces comorbidités</w:t>
      </w:r>
      <w:r w:rsidR="00D6567C">
        <w:t xml:space="preserve">, sans nécessité de présenter une prescription médicale.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lastRenderedPageBreak/>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43D0B121" w:rsidR="007F1846" w:rsidRPr="00180752" w:rsidRDefault="008F2C0D" w:rsidP="007B4C20">
      <w:pPr>
        <w:spacing w:after="0"/>
        <w:jc w:val="center"/>
        <w:rPr>
          <w:rFonts w:cstheme="minorHAnsi"/>
          <w:b/>
        </w:rPr>
      </w:pPr>
      <w:r>
        <w:rPr>
          <w:rFonts w:cstheme="minorHAnsi"/>
          <w:b/>
          <w:noProof/>
          <w:lang w:eastAsia="fr-FR"/>
        </w:rPr>
        <w:lastRenderedPageBreak/>
        <w:drawing>
          <wp:inline distT="0" distB="0" distL="0" distR="0" wp14:anchorId="382807AB" wp14:editId="4CFD428E">
            <wp:extent cx="5340358" cy="834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 publics x vaccins v3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297" cy="8345367"/>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7FAB" w14:textId="77777777" w:rsidR="00E95A66" w:rsidRDefault="00E95A66" w:rsidP="00EF7EA0">
      <w:pPr>
        <w:spacing w:after="0" w:line="240" w:lineRule="auto"/>
      </w:pPr>
      <w:r>
        <w:separator/>
      </w:r>
    </w:p>
  </w:endnote>
  <w:endnote w:type="continuationSeparator" w:id="0">
    <w:p w14:paraId="4EEB51EF" w14:textId="77777777" w:rsidR="00E95A66" w:rsidRDefault="00E95A66"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1B64" w14:textId="77777777" w:rsidR="00E95A66" w:rsidRDefault="00E95A66" w:rsidP="00EF7EA0">
      <w:pPr>
        <w:spacing w:after="0" w:line="240" w:lineRule="auto"/>
      </w:pPr>
      <w:r>
        <w:separator/>
      </w:r>
    </w:p>
  </w:footnote>
  <w:footnote w:type="continuationSeparator" w:id="0">
    <w:p w14:paraId="1F38D2DF" w14:textId="77777777" w:rsidR="00E95A66" w:rsidRDefault="00E95A66"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66B83"/>
    <w:rsid w:val="0007290B"/>
    <w:rsid w:val="000732CB"/>
    <w:rsid w:val="00074059"/>
    <w:rsid w:val="00076F9E"/>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5DE5"/>
    <w:rsid w:val="0014205A"/>
    <w:rsid w:val="00151F23"/>
    <w:rsid w:val="00153242"/>
    <w:rsid w:val="0015535C"/>
    <w:rsid w:val="00157BC5"/>
    <w:rsid w:val="00164390"/>
    <w:rsid w:val="00166889"/>
    <w:rsid w:val="00170D68"/>
    <w:rsid w:val="001717B2"/>
    <w:rsid w:val="00172FFC"/>
    <w:rsid w:val="00176BC0"/>
    <w:rsid w:val="0018032E"/>
    <w:rsid w:val="00180752"/>
    <w:rsid w:val="00181B28"/>
    <w:rsid w:val="00187DB7"/>
    <w:rsid w:val="00187EFF"/>
    <w:rsid w:val="00190956"/>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5CEC"/>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954B7"/>
    <w:rsid w:val="004B7C79"/>
    <w:rsid w:val="004C5355"/>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3F07"/>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50FE"/>
    <w:rsid w:val="00637876"/>
    <w:rsid w:val="0064148A"/>
    <w:rsid w:val="0064254E"/>
    <w:rsid w:val="00645C85"/>
    <w:rsid w:val="00646FA0"/>
    <w:rsid w:val="00651249"/>
    <w:rsid w:val="00653BD2"/>
    <w:rsid w:val="00655327"/>
    <w:rsid w:val="00656519"/>
    <w:rsid w:val="0066172A"/>
    <w:rsid w:val="00662D96"/>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20C9"/>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2196"/>
    <w:rsid w:val="007834C9"/>
    <w:rsid w:val="0079282F"/>
    <w:rsid w:val="007A26F8"/>
    <w:rsid w:val="007B0107"/>
    <w:rsid w:val="007B1B13"/>
    <w:rsid w:val="007B4C20"/>
    <w:rsid w:val="007C25DA"/>
    <w:rsid w:val="007C65B7"/>
    <w:rsid w:val="007D68A5"/>
    <w:rsid w:val="007E3E7E"/>
    <w:rsid w:val="007E5544"/>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5126"/>
    <w:rsid w:val="00926284"/>
    <w:rsid w:val="00926FBF"/>
    <w:rsid w:val="0093505F"/>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A2416"/>
    <w:rsid w:val="009A3196"/>
    <w:rsid w:val="009A33CC"/>
    <w:rsid w:val="009A3B8D"/>
    <w:rsid w:val="009A7779"/>
    <w:rsid w:val="009B255C"/>
    <w:rsid w:val="009B4DCE"/>
    <w:rsid w:val="009C0BCE"/>
    <w:rsid w:val="009C60D6"/>
    <w:rsid w:val="009C6253"/>
    <w:rsid w:val="009D177D"/>
    <w:rsid w:val="009D2DEB"/>
    <w:rsid w:val="009E3F5A"/>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40E39"/>
    <w:rsid w:val="00B45CF8"/>
    <w:rsid w:val="00B4612F"/>
    <w:rsid w:val="00B500AF"/>
    <w:rsid w:val="00B50F93"/>
    <w:rsid w:val="00B57D96"/>
    <w:rsid w:val="00B601CB"/>
    <w:rsid w:val="00B6103A"/>
    <w:rsid w:val="00B632BE"/>
    <w:rsid w:val="00B63A23"/>
    <w:rsid w:val="00B63EE6"/>
    <w:rsid w:val="00B642C7"/>
    <w:rsid w:val="00B64EE4"/>
    <w:rsid w:val="00B70619"/>
    <w:rsid w:val="00B741AF"/>
    <w:rsid w:val="00B766C8"/>
    <w:rsid w:val="00B8049A"/>
    <w:rsid w:val="00B81AFF"/>
    <w:rsid w:val="00B91FCB"/>
    <w:rsid w:val="00B958F2"/>
    <w:rsid w:val="00B96981"/>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7431"/>
    <w:rsid w:val="00CC2D44"/>
    <w:rsid w:val="00CC2DFC"/>
    <w:rsid w:val="00CC4586"/>
    <w:rsid w:val="00CC69D6"/>
    <w:rsid w:val="00CF448E"/>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3449F"/>
    <w:rsid w:val="00D4721A"/>
    <w:rsid w:val="00D537A2"/>
    <w:rsid w:val="00D54650"/>
    <w:rsid w:val="00D57A44"/>
    <w:rsid w:val="00D64003"/>
    <w:rsid w:val="00D6567C"/>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AC2"/>
    <w:rsid w:val="00DC62A5"/>
    <w:rsid w:val="00DD164F"/>
    <w:rsid w:val="00DD47B2"/>
    <w:rsid w:val="00DD53EE"/>
    <w:rsid w:val="00DE3126"/>
    <w:rsid w:val="00DE340A"/>
    <w:rsid w:val="00DE4DFE"/>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95A66"/>
    <w:rsid w:val="00EA2B85"/>
    <w:rsid w:val="00EA37D2"/>
    <w:rsid w:val="00EB0BCA"/>
    <w:rsid w:val="00EC0E9E"/>
    <w:rsid w:val="00ED0D49"/>
    <w:rsid w:val="00ED6741"/>
    <w:rsid w:val="00EE44CC"/>
    <w:rsid w:val="00EE5846"/>
    <w:rsid w:val="00EE74E3"/>
    <w:rsid w:val="00EF298A"/>
    <w:rsid w:val="00EF31DF"/>
    <w:rsid w:val="00EF4D8F"/>
    <w:rsid w:val="00EF7EA0"/>
    <w:rsid w:val="00F01DFB"/>
    <w:rsid w:val="00F04465"/>
    <w:rsid w:val="00F10F5E"/>
    <w:rsid w:val="00F1538D"/>
    <w:rsid w:val="00F25352"/>
    <w:rsid w:val="00F34908"/>
    <w:rsid w:val="00F357AD"/>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83039093">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8068744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54D1-1372-428D-A3DC-C601CFAE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628</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JAFFRE, Pauline (DGS/MICOM)</cp:lastModifiedBy>
  <cp:revision>3</cp:revision>
  <cp:lastPrinted>2021-04-13T16:31:00Z</cp:lastPrinted>
  <dcterms:created xsi:type="dcterms:W3CDTF">2021-05-03T16:00:00Z</dcterms:created>
  <dcterms:modified xsi:type="dcterms:W3CDTF">2021-05-03T16:09:00Z</dcterms:modified>
</cp:coreProperties>
</file>