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564D0A">
      <w:pPr>
        <w:spacing w:after="0" w:line="259" w:lineRule="auto"/>
        <w:ind w:left="0" w:firstLine="0"/>
        <w:jc w:val="right"/>
        <w:rPr>
          <w:sz w:val="20"/>
        </w:rPr>
      </w:pPr>
      <w:r>
        <w:rPr>
          <w:sz w:val="20"/>
        </w:rPr>
        <w:t>Paris, le 1</w:t>
      </w:r>
      <w:r w:rsidR="00633600">
        <w:rPr>
          <w:sz w:val="20"/>
        </w:rPr>
        <w:t>9</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87097B">
        <w:t>1</w:t>
      </w:r>
      <w:r w:rsidR="00633600">
        <w:t>9</w:t>
      </w:r>
      <w:r w:rsidR="00D46BDA">
        <w:t xml:space="preserve"> </w:t>
      </w:r>
      <w:r>
        <w:t>juin</w:t>
      </w:r>
      <w:r w:rsidR="00AA4497">
        <w:t xml:space="preserve"> </w:t>
      </w:r>
      <w:r w:rsidR="00AA4497" w:rsidRPr="00FC7ED5">
        <w:t xml:space="preserve">2021, </w:t>
      </w:r>
      <w:r w:rsidR="00633600">
        <w:t>prè</w:t>
      </w:r>
      <w:r w:rsidR="008E3D54">
        <w:t>s</w:t>
      </w:r>
      <w:r w:rsidR="00610B75" w:rsidRPr="00585A4E">
        <w:t xml:space="preserve"> de </w:t>
      </w:r>
      <w:r w:rsidR="00633600">
        <w:t>48</w:t>
      </w:r>
      <w:r w:rsidR="008E3D54">
        <w:t xml:space="preserve"> </w:t>
      </w:r>
      <w:r w:rsidR="00633600">
        <w:t>175</w:t>
      </w:r>
      <w:r w:rsidR="00610B75" w:rsidRPr="00585A4E">
        <w:t xml:space="preserve"> </w:t>
      </w:r>
      <w:r w:rsidR="00621A9E" w:rsidRPr="00585A4E">
        <w:t>000</w:t>
      </w:r>
      <w:r w:rsidR="009B0CF3" w:rsidRPr="00585A4E">
        <w:t xml:space="preserve"> </w:t>
      </w:r>
      <w:bookmarkStart w:id="0" w:name="_GoBack"/>
      <w:bookmarkEnd w:id="0"/>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AB02C7" w:rsidRPr="00AB02C7">
        <w:rPr>
          <w:rFonts w:asciiTheme="minorHAnsi" w:hAnsiTheme="minorHAnsi" w:cstheme="minorHAnsi"/>
          <w:sz w:val="20"/>
          <w:szCs w:val="20"/>
        </w:rPr>
        <w:t>31 964 313</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D32ECB">
        <w:rPr>
          <w:rFonts w:asciiTheme="minorHAnsi" w:hAnsiTheme="minorHAnsi" w:cstheme="minorHAnsi"/>
          <w:sz w:val="20"/>
          <w:szCs w:val="20"/>
        </w:rPr>
        <w:t>47,7</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D32ECB">
        <w:rPr>
          <w:rFonts w:asciiTheme="minorHAnsi" w:hAnsiTheme="minorHAnsi" w:cstheme="minorHAnsi"/>
          <w:sz w:val="20"/>
          <w:szCs w:val="20"/>
        </w:rPr>
        <w:t>60,9</w:t>
      </w:r>
      <w:r w:rsidRPr="000128B6">
        <w:rPr>
          <w:rFonts w:asciiTheme="minorHAnsi" w:hAnsiTheme="minorHAnsi" w:cstheme="minorHAnsi"/>
          <w:sz w:val="20"/>
          <w:szCs w:val="20"/>
        </w:rPr>
        <w:t xml:space="preserve">% de la population majeure) et </w:t>
      </w:r>
      <w:r w:rsidR="00AB02C7" w:rsidRPr="00AB02C7">
        <w:rPr>
          <w:rFonts w:asciiTheme="minorHAnsi" w:hAnsiTheme="minorHAnsi" w:cstheme="minorHAnsi"/>
          <w:sz w:val="20"/>
          <w:szCs w:val="20"/>
        </w:rPr>
        <w:t>16 209 689</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AF00EA">
        <w:rPr>
          <w:rFonts w:asciiTheme="minorHAnsi" w:hAnsiTheme="minorHAnsi" w:cstheme="minorHAnsi"/>
          <w:sz w:val="20"/>
          <w:szCs w:val="20"/>
        </w:rPr>
        <w:t>2</w:t>
      </w:r>
      <w:r w:rsidR="00D32ECB">
        <w:rPr>
          <w:rFonts w:asciiTheme="minorHAnsi" w:hAnsiTheme="minorHAnsi" w:cstheme="minorHAnsi"/>
          <w:sz w:val="20"/>
          <w:szCs w:val="20"/>
        </w:rPr>
        <w:t>4,2</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D32ECB">
        <w:rPr>
          <w:rFonts w:asciiTheme="minorHAnsi" w:hAnsiTheme="minorHAnsi" w:cstheme="minorHAnsi"/>
          <w:sz w:val="20"/>
          <w:szCs w:val="20"/>
        </w:rPr>
        <w:t>30,9</w:t>
      </w:r>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724157">
        <w:rPr>
          <w:rFonts w:asciiTheme="minorHAnsi" w:hAnsiTheme="minorHAnsi" w:cstheme="minorHAnsi"/>
          <w:color w:val="1F497D"/>
          <w:sz w:val="20"/>
          <w:szCs w:val="20"/>
        </w:rPr>
        <w:t xml:space="preserve"> </w:t>
      </w:r>
      <w:r w:rsidR="00724157" w:rsidRPr="00724157">
        <w:rPr>
          <w:rFonts w:asciiTheme="minorHAnsi" w:hAnsiTheme="minorHAnsi" w:cstheme="minorHAnsi"/>
          <w:b/>
          <w:sz w:val="20"/>
          <w:szCs w:val="20"/>
        </w:rPr>
        <w:t>18 175</w:t>
      </w:r>
      <w:r w:rsidR="00724157" w:rsidRPr="00724157">
        <w:rPr>
          <w:rFonts w:asciiTheme="minorHAnsi" w:hAnsiTheme="minorHAnsi" w:cstheme="minorHAnsi"/>
          <w:b/>
          <w:sz w:val="20"/>
          <w:szCs w:val="20"/>
        </w:rPr>
        <w:t> </w:t>
      </w:r>
      <w:r w:rsidR="00724157" w:rsidRPr="00724157">
        <w:rPr>
          <w:rFonts w:asciiTheme="minorHAnsi" w:hAnsiTheme="minorHAnsi" w:cstheme="minorHAnsi"/>
          <w:b/>
          <w:sz w:val="20"/>
          <w:szCs w:val="20"/>
        </w:rPr>
        <w:t>104</w:t>
      </w:r>
      <w:r w:rsidR="00724157">
        <w:rPr>
          <w:b/>
          <w:bCs/>
          <w:color w:val="1F497D"/>
        </w:rPr>
        <w:t xml:space="preserve"> </w:t>
      </w:r>
      <w:r w:rsidR="00772D7F" w:rsidRPr="000128B6">
        <w:rPr>
          <w:rFonts w:asciiTheme="minorHAnsi" w:hAnsiTheme="minorHAnsi" w:cstheme="minorHAnsi"/>
          <w:b/>
          <w:sz w:val="20"/>
          <w:szCs w:val="20"/>
        </w:rPr>
        <w:t>de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5853C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5853CE" w:rsidRPr="00A4052F" w:rsidRDefault="005853CE" w:rsidP="005853C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5853CE" w:rsidRPr="00A44901" w:rsidRDefault="005853CE" w:rsidP="005853CE">
            <w:pPr>
              <w:jc w:val="right"/>
            </w:pPr>
            <w:r w:rsidRPr="00A44901">
              <w:t>251 417</w:t>
            </w:r>
          </w:p>
        </w:tc>
        <w:tc>
          <w:tcPr>
            <w:tcW w:w="2410" w:type="dxa"/>
            <w:tcBorders>
              <w:top w:val="single" w:sz="4" w:space="0" w:color="000000"/>
              <w:left w:val="single" w:sz="4" w:space="0" w:color="000000"/>
              <w:bottom w:val="single" w:sz="4" w:space="0" w:color="000000"/>
              <w:right w:val="single" w:sz="4" w:space="0" w:color="000000"/>
            </w:tcBorders>
          </w:tcPr>
          <w:p w:rsidR="005853CE" w:rsidRPr="0085347C" w:rsidRDefault="005853CE" w:rsidP="005853CE">
            <w:pPr>
              <w:jc w:val="right"/>
            </w:pPr>
            <w:r w:rsidRPr="0085347C">
              <w:t>6 149 955</w:t>
            </w:r>
          </w:p>
        </w:tc>
        <w:tc>
          <w:tcPr>
            <w:tcW w:w="2408" w:type="dxa"/>
            <w:tcBorders>
              <w:top w:val="single" w:sz="4" w:space="0" w:color="000000"/>
              <w:left w:val="single" w:sz="4" w:space="0" w:color="000000"/>
              <w:bottom w:val="single" w:sz="4" w:space="0" w:color="000000"/>
              <w:right w:val="single" w:sz="4" w:space="0" w:color="000000"/>
            </w:tcBorders>
          </w:tcPr>
          <w:p w:rsidR="005853CE" w:rsidRPr="00224F3F" w:rsidRDefault="005853CE" w:rsidP="005853CE">
            <w:pPr>
              <w:jc w:val="right"/>
            </w:pPr>
            <w:r w:rsidRPr="00224F3F">
              <w:t>31 964 313</w:t>
            </w:r>
          </w:p>
        </w:tc>
      </w:tr>
      <w:tr w:rsidR="005853C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5853CE" w:rsidRPr="00A4052F" w:rsidRDefault="005853CE" w:rsidP="005853C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5853CE" w:rsidRDefault="005853CE" w:rsidP="005853CE">
            <w:pPr>
              <w:jc w:val="right"/>
            </w:pPr>
            <w:r w:rsidRPr="00A44901">
              <w:t>296 432</w:t>
            </w:r>
          </w:p>
        </w:tc>
        <w:tc>
          <w:tcPr>
            <w:tcW w:w="2410" w:type="dxa"/>
            <w:tcBorders>
              <w:top w:val="single" w:sz="4" w:space="0" w:color="000000"/>
              <w:left w:val="single" w:sz="4" w:space="0" w:color="000000"/>
              <w:bottom w:val="single" w:sz="4" w:space="0" w:color="000000"/>
              <w:right w:val="single" w:sz="4" w:space="0" w:color="000000"/>
            </w:tcBorders>
          </w:tcPr>
          <w:p w:rsidR="005853CE" w:rsidRPr="0085347C" w:rsidRDefault="005853CE" w:rsidP="005853CE">
            <w:pPr>
              <w:jc w:val="right"/>
            </w:pPr>
            <w:r w:rsidRPr="0085347C">
              <w:t>5 227 269</w:t>
            </w:r>
          </w:p>
        </w:tc>
        <w:tc>
          <w:tcPr>
            <w:tcW w:w="2408" w:type="dxa"/>
            <w:tcBorders>
              <w:top w:val="single" w:sz="4" w:space="0" w:color="000000"/>
              <w:left w:val="single" w:sz="4" w:space="0" w:color="000000"/>
              <w:bottom w:val="single" w:sz="4" w:space="0" w:color="000000"/>
              <w:right w:val="single" w:sz="4" w:space="0" w:color="000000"/>
            </w:tcBorders>
          </w:tcPr>
          <w:p w:rsidR="005853CE" w:rsidRDefault="005853CE" w:rsidP="005853CE">
            <w:pPr>
              <w:jc w:val="right"/>
            </w:pPr>
            <w:r w:rsidRPr="00224F3F">
              <w:t>16 209 689</w:t>
            </w:r>
          </w:p>
        </w:tc>
      </w:tr>
      <w:tr w:rsidR="00F5200A" w:rsidRPr="00A4052F" w:rsidTr="000E325C">
        <w:trPr>
          <w:trHeight w:val="278"/>
        </w:trPr>
        <w:tc>
          <w:tcPr>
            <w:tcW w:w="1838" w:type="dxa"/>
            <w:tcBorders>
              <w:top w:val="single" w:sz="4" w:space="0" w:color="000000"/>
              <w:left w:val="single" w:sz="4" w:space="0" w:color="000000"/>
              <w:bottom w:val="single" w:sz="4" w:space="0" w:color="000000"/>
              <w:right w:val="single" w:sz="4" w:space="0" w:color="000000"/>
            </w:tcBorders>
          </w:tcPr>
          <w:p w:rsidR="00F5200A" w:rsidRPr="00A4052F" w:rsidRDefault="00F5200A" w:rsidP="00F5200A">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F5200A" w:rsidRDefault="005853CE" w:rsidP="00F5200A">
            <w:pPr>
              <w:jc w:val="right"/>
              <w:rPr>
                <w:rFonts w:eastAsiaTheme="minorHAnsi"/>
                <w:b/>
                <w:bCs/>
                <w:color w:val="1F497D"/>
              </w:rPr>
            </w:pPr>
            <w:r w:rsidRPr="005853CE">
              <w:rPr>
                <w:b/>
                <w:bCs/>
                <w:color w:val="auto"/>
              </w:rPr>
              <w:t>547 849</w:t>
            </w:r>
          </w:p>
          <w:p w:rsidR="00F5200A" w:rsidRPr="00610B75" w:rsidRDefault="00F5200A" w:rsidP="005853CE">
            <w:pPr>
              <w:ind w:left="0" w:firstLine="0"/>
              <w:jc w:val="right"/>
              <w:rPr>
                <w:b/>
                <w:bCs/>
                <w:color w:val="auto"/>
              </w:rPr>
            </w:pPr>
            <w:r w:rsidRPr="000128B6">
              <w:rPr>
                <w:b/>
                <w:bCs/>
                <w:color w:val="auto"/>
              </w:rPr>
              <w:t xml:space="preserve">(dont </w:t>
            </w:r>
            <w:r w:rsidR="005853CE" w:rsidRPr="005853CE">
              <w:rPr>
                <w:b/>
                <w:bCs/>
                <w:color w:val="auto"/>
              </w:rPr>
              <w:t>327 271</w:t>
            </w:r>
            <w:r w:rsidRPr="008E3D54">
              <w:rPr>
                <w:b/>
                <w:bCs/>
                <w:color w:val="auto"/>
              </w:rPr>
              <w:t xml:space="preserve"> </w:t>
            </w:r>
            <w:r>
              <w:rPr>
                <w:b/>
                <w:bCs/>
                <w:color w:val="auto"/>
              </w:rPr>
              <w:t xml:space="preserve">schémas vaccinaux complets) </w:t>
            </w:r>
          </w:p>
        </w:tc>
        <w:tc>
          <w:tcPr>
            <w:tcW w:w="2410" w:type="dxa"/>
            <w:tcBorders>
              <w:top w:val="single" w:sz="4" w:space="0" w:color="000000"/>
              <w:left w:val="single" w:sz="4" w:space="0" w:color="000000"/>
              <w:bottom w:val="single" w:sz="4" w:space="0" w:color="000000"/>
              <w:right w:val="single" w:sz="4" w:space="0" w:color="000000"/>
            </w:tcBorders>
          </w:tcPr>
          <w:p w:rsidR="00F5200A" w:rsidRDefault="00F5200A" w:rsidP="00F5200A">
            <w:pPr>
              <w:jc w:val="right"/>
            </w:pPr>
          </w:p>
          <w:p w:rsidR="00F5200A" w:rsidRDefault="00F5200A" w:rsidP="00F5200A">
            <w:pPr>
              <w:jc w:val="right"/>
            </w:pPr>
          </w:p>
          <w:p w:rsidR="00F5200A" w:rsidRPr="00F5200A" w:rsidRDefault="00F5200A" w:rsidP="00F5200A">
            <w:pPr>
              <w:ind w:left="0" w:firstLine="0"/>
              <w:jc w:val="right"/>
              <w:rPr>
                <w:b/>
              </w:rPr>
            </w:pPr>
            <w:r w:rsidRPr="00F5200A">
              <w:rPr>
                <w:b/>
              </w:rPr>
              <w:t xml:space="preserve">  </w:t>
            </w:r>
            <w:r w:rsidRPr="00F5200A">
              <w:rPr>
                <w:b/>
              </w:rPr>
              <w:t>11 377 224</w:t>
            </w:r>
          </w:p>
        </w:tc>
        <w:tc>
          <w:tcPr>
            <w:tcW w:w="2408" w:type="dxa"/>
            <w:tcBorders>
              <w:top w:val="single" w:sz="4" w:space="0" w:color="000000"/>
              <w:left w:val="single" w:sz="4" w:space="0" w:color="000000"/>
              <w:bottom w:val="single" w:sz="4" w:space="0" w:color="000000"/>
              <w:right w:val="single" w:sz="4" w:space="0" w:color="000000"/>
            </w:tcBorders>
          </w:tcPr>
          <w:p w:rsidR="00F5200A" w:rsidRPr="008E3D54" w:rsidRDefault="005853CE" w:rsidP="00F5200A">
            <w:pPr>
              <w:jc w:val="right"/>
              <w:rPr>
                <w:b/>
                <w:color w:val="auto"/>
              </w:rPr>
            </w:pPr>
            <w:r w:rsidRPr="005853CE">
              <w:rPr>
                <w:b/>
                <w:bCs/>
                <w:color w:val="auto"/>
              </w:rPr>
              <w:t>48 174 002</w:t>
            </w:r>
          </w:p>
          <w:p w:rsidR="00F5200A" w:rsidRPr="00AC3A2A" w:rsidRDefault="00F5200A" w:rsidP="005853CE">
            <w:pPr>
              <w:jc w:val="right"/>
              <w:rPr>
                <w:b/>
                <w:color w:val="auto"/>
              </w:rPr>
            </w:pPr>
            <w:r w:rsidRPr="00AC3A2A">
              <w:rPr>
                <w:b/>
                <w:color w:val="auto"/>
              </w:rPr>
              <w:t xml:space="preserve">(dont </w:t>
            </w:r>
            <w:r w:rsidR="005853CE" w:rsidRPr="005853CE">
              <w:rPr>
                <w:b/>
                <w:color w:val="auto"/>
              </w:rPr>
              <w:t>18 175 104</w:t>
            </w:r>
            <w:r>
              <w:rPr>
                <w:b/>
                <w:bCs/>
                <w:color w:val="1F497D"/>
              </w:rPr>
              <w:t xml:space="preserve"> </w:t>
            </w:r>
            <w:r w:rsidRPr="00AC3A2A">
              <w:rPr>
                <w:b/>
                <w:color w:val="auto"/>
              </w:rPr>
              <w:t>schémas vaccinaux complets)</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45" w:rsidRDefault="00BC7745">
      <w:pPr>
        <w:spacing w:after="0" w:line="240" w:lineRule="auto"/>
      </w:pPr>
      <w:r>
        <w:separator/>
      </w:r>
    </w:p>
  </w:endnote>
  <w:endnote w:type="continuationSeparator" w:id="0">
    <w:p w:rsidR="00BC7745" w:rsidRDefault="00BC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45" w:rsidRDefault="00BC7745">
      <w:pPr>
        <w:spacing w:after="185" w:line="259" w:lineRule="auto"/>
        <w:ind w:left="195" w:right="0" w:firstLine="0"/>
        <w:jc w:val="left"/>
      </w:pPr>
      <w:r>
        <w:separator/>
      </w:r>
    </w:p>
  </w:footnote>
  <w:footnote w:type="continuationSeparator" w:id="0">
    <w:p w:rsidR="00BC7745" w:rsidRDefault="00BC7745">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5557"/>
    <w:rsid w:val="00682596"/>
    <w:rsid w:val="00697D9C"/>
    <w:rsid w:val="006B0487"/>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80F3C"/>
    <w:rsid w:val="009A11B9"/>
    <w:rsid w:val="009B0CF3"/>
    <w:rsid w:val="009D4094"/>
    <w:rsid w:val="009E51A6"/>
    <w:rsid w:val="009E7076"/>
    <w:rsid w:val="00A03A65"/>
    <w:rsid w:val="00A21C24"/>
    <w:rsid w:val="00A4052F"/>
    <w:rsid w:val="00A50F5B"/>
    <w:rsid w:val="00A72307"/>
    <w:rsid w:val="00A832AD"/>
    <w:rsid w:val="00A8685D"/>
    <w:rsid w:val="00A95D0D"/>
    <w:rsid w:val="00AA4497"/>
    <w:rsid w:val="00AB02C7"/>
    <w:rsid w:val="00AB7E69"/>
    <w:rsid w:val="00AC3A2A"/>
    <w:rsid w:val="00AD0533"/>
    <w:rsid w:val="00AD0A3A"/>
    <w:rsid w:val="00AD12FC"/>
    <w:rsid w:val="00AF00EA"/>
    <w:rsid w:val="00B338BB"/>
    <w:rsid w:val="00B43AB2"/>
    <w:rsid w:val="00B44D93"/>
    <w:rsid w:val="00B51729"/>
    <w:rsid w:val="00B551D0"/>
    <w:rsid w:val="00B67ABB"/>
    <w:rsid w:val="00B67B7F"/>
    <w:rsid w:val="00B71D4E"/>
    <w:rsid w:val="00B8375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32ECB"/>
    <w:rsid w:val="00D46BDA"/>
    <w:rsid w:val="00D532CD"/>
    <w:rsid w:val="00D55313"/>
    <w:rsid w:val="00D83EFC"/>
    <w:rsid w:val="00D91B9A"/>
    <w:rsid w:val="00D969DD"/>
    <w:rsid w:val="00DA028F"/>
    <w:rsid w:val="00DA119F"/>
    <w:rsid w:val="00DC2F07"/>
    <w:rsid w:val="00DC71EC"/>
    <w:rsid w:val="00DD14F1"/>
    <w:rsid w:val="00DD6C0E"/>
    <w:rsid w:val="00E06D3D"/>
    <w:rsid w:val="00E33AD0"/>
    <w:rsid w:val="00E54AA4"/>
    <w:rsid w:val="00E800C3"/>
    <w:rsid w:val="00EA6B4B"/>
    <w:rsid w:val="00ED012C"/>
    <w:rsid w:val="00EF3CA4"/>
    <w:rsid w:val="00EF4DEF"/>
    <w:rsid w:val="00F22BA7"/>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B182"/>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GRAZIANI, Elodie</cp:lastModifiedBy>
  <cp:revision>13</cp:revision>
  <cp:lastPrinted>2021-06-16T16:23:00Z</cp:lastPrinted>
  <dcterms:created xsi:type="dcterms:W3CDTF">2021-06-19T16:03:00Z</dcterms:created>
  <dcterms:modified xsi:type="dcterms:W3CDTF">2021-06-19T16:14:00Z</dcterms:modified>
</cp:coreProperties>
</file>