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F3827" w14:textId="77777777" w:rsidR="002F68AF" w:rsidRDefault="00A57C18" w:rsidP="00A57C18">
      <w:pPr>
        <w:jc w:val="righ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0E70815" wp14:editId="0A2DD9A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81175" cy="1386840"/>
            <wp:effectExtent l="0" t="0" r="9525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_Solidarites_Sante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C04D010" wp14:editId="7FAEC63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0200" cy="1127125"/>
            <wp:effectExtent l="0" t="0" r="0" b="0"/>
            <wp:wrapSquare wrapText="bothSides"/>
            <wp:docPr id="2" name="Image 2" descr="C:\Users\pauline.jaffre\AppData\Local\Microsoft\Windows\INetCache\Content.Word\logo Vaccin fond bleu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.jaffre\AppData\Local\Microsoft\Windows\INetCache\Content.Word\logo Vaccin fond bleu_RV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8AF" w:rsidRPr="002F68AF">
        <w:rPr>
          <w:b/>
        </w:rPr>
        <w:t xml:space="preserve"> </w:t>
      </w:r>
    </w:p>
    <w:p w14:paraId="555A0FDA" w14:textId="77777777" w:rsidR="00A57C18" w:rsidRDefault="00A57C18" w:rsidP="00E427C5">
      <w:pPr>
        <w:jc w:val="center"/>
        <w:rPr>
          <w:b/>
          <w:sz w:val="24"/>
          <w:szCs w:val="24"/>
        </w:rPr>
      </w:pPr>
    </w:p>
    <w:p w14:paraId="7B1EF64F" w14:textId="77777777" w:rsidR="00A57C18" w:rsidRDefault="00A57C18" w:rsidP="00E427C5">
      <w:pPr>
        <w:jc w:val="center"/>
        <w:rPr>
          <w:b/>
          <w:sz w:val="24"/>
          <w:szCs w:val="24"/>
        </w:rPr>
      </w:pPr>
    </w:p>
    <w:p w14:paraId="6DDC25EA" w14:textId="77777777" w:rsidR="00A57C18" w:rsidRDefault="00A57C18" w:rsidP="00E427C5">
      <w:pPr>
        <w:jc w:val="center"/>
        <w:rPr>
          <w:b/>
          <w:sz w:val="24"/>
          <w:szCs w:val="24"/>
        </w:rPr>
      </w:pPr>
    </w:p>
    <w:p w14:paraId="31A76D88" w14:textId="77777777" w:rsidR="00A57C18" w:rsidRDefault="00A57C18" w:rsidP="00E427C5">
      <w:pPr>
        <w:jc w:val="center"/>
        <w:rPr>
          <w:b/>
          <w:sz w:val="24"/>
          <w:szCs w:val="24"/>
        </w:rPr>
      </w:pPr>
    </w:p>
    <w:p w14:paraId="7F21C70E" w14:textId="77777777" w:rsidR="00270FAA" w:rsidRPr="00D24B2F" w:rsidRDefault="00270FAA" w:rsidP="00E427C5">
      <w:pPr>
        <w:jc w:val="center"/>
        <w:rPr>
          <w:b/>
          <w:sz w:val="24"/>
          <w:szCs w:val="24"/>
        </w:rPr>
      </w:pPr>
      <w:r w:rsidRPr="00D24B2F">
        <w:rPr>
          <w:b/>
          <w:sz w:val="24"/>
          <w:szCs w:val="24"/>
        </w:rPr>
        <w:t>COMMUNIQUE DE PRESSE</w:t>
      </w:r>
    </w:p>
    <w:p w14:paraId="4DDE5D52" w14:textId="77777777" w:rsidR="00270FAA" w:rsidRPr="00D24B2F" w:rsidRDefault="00270FAA" w:rsidP="00270FAA">
      <w:pPr>
        <w:jc w:val="right"/>
      </w:pPr>
      <w:r w:rsidRPr="00D24B2F">
        <w:t xml:space="preserve">Paris, le 30 avril 2021 </w:t>
      </w:r>
    </w:p>
    <w:p w14:paraId="66AEE8BB" w14:textId="77777777" w:rsidR="002F68AF" w:rsidRPr="00D24B2F" w:rsidRDefault="002F68AF" w:rsidP="00E427C5">
      <w:pPr>
        <w:rPr>
          <w:b/>
        </w:rPr>
      </w:pPr>
    </w:p>
    <w:p w14:paraId="5F2334E2" w14:textId="17084F84" w:rsidR="00270FAA" w:rsidRPr="00D24B2F" w:rsidRDefault="00270FAA" w:rsidP="00D7160D">
      <w:pPr>
        <w:jc w:val="both"/>
        <w:rPr>
          <w:b/>
        </w:rPr>
      </w:pPr>
      <w:r w:rsidRPr="00D24B2F">
        <w:rPr>
          <w:b/>
        </w:rPr>
        <w:t xml:space="preserve">Le Gouvernement ouvre la vaccination aux </w:t>
      </w:r>
      <w:r w:rsidR="009844DD" w:rsidRPr="00D24B2F">
        <w:rPr>
          <w:b/>
        </w:rPr>
        <w:t>F</w:t>
      </w:r>
      <w:r w:rsidR="00E427C5" w:rsidRPr="00D24B2F">
        <w:rPr>
          <w:b/>
        </w:rPr>
        <w:t>rançais</w:t>
      </w:r>
      <w:r w:rsidR="001C1194">
        <w:rPr>
          <w:b/>
        </w:rPr>
        <w:t>es et Français</w:t>
      </w:r>
      <w:r w:rsidR="00E427C5" w:rsidRPr="00D24B2F">
        <w:rPr>
          <w:b/>
        </w:rPr>
        <w:t xml:space="preserve"> de </w:t>
      </w:r>
      <w:r w:rsidR="001C1194">
        <w:rPr>
          <w:b/>
        </w:rPr>
        <w:t xml:space="preserve">plus de </w:t>
      </w:r>
      <w:r w:rsidR="00E427C5" w:rsidRPr="00D24B2F">
        <w:rPr>
          <w:b/>
        </w:rPr>
        <w:t>18 ans</w:t>
      </w:r>
      <w:r w:rsidRPr="00D24B2F">
        <w:rPr>
          <w:b/>
        </w:rPr>
        <w:t xml:space="preserve"> s</w:t>
      </w:r>
      <w:r w:rsidR="00FC1E8E">
        <w:rPr>
          <w:b/>
        </w:rPr>
        <w:t xml:space="preserve">ouffrant d’une ou </w:t>
      </w:r>
      <w:r w:rsidR="001C1194">
        <w:rPr>
          <w:b/>
        </w:rPr>
        <w:t xml:space="preserve">de </w:t>
      </w:r>
      <w:r w:rsidR="00FC1E8E">
        <w:rPr>
          <w:b/>
        </w:rPr>
        <w:t xml:space="preserve">plusieurs </w:t>
      </w:r>
      <w:r w:rsidRPr="00D24B2F">
        <w:rPr>
          <w:b/>
        </w:rPr>
        <w:t>comorbidités</w:t>
      </w:r>
    </w:p>
    <w:p w14:paraId="64B0B1F8" w14:textId="34DF3AF1" w:rsidR="00E427C5" w:rsidRPr="00D24B2F" w:rsidRDefault="00E427C5" w:rsidP="00E427C5">
      <w:pPr>
        <w:jc w:val="both"/>
      </w:pPr>
      <w:r w:rsidRPr="00D24B2F">
        <w:t>Comme annoncé par Olivier Véran, ministre des Solidarités et de la Santé, la campagne de vaccination entre dans une nouvelle phase à partir du 1</w:t>
      </w:r>
      <w:r w:rsidRPr="00D24B2F">
        <w:rPr>
          <w:vertAlign w:val="superscript"/>
        </w:rPr>
        <w:t>er</w:t>
      </w:r>
      <w:r w:rsidR="009844DD" w:rsidRPr="00D24B2F">
        <w:t xml:space="preserve"> </w:t>
      </w:r>
      <w:r w:rsidRPr="00D24B2F">
        <w:t xml:space="preserve">mai 2021 : </w:t>
      </w:r>
      <w:r w:rsidRPr="00D24B2F">
        <w:rPr>
          <w:b/>
        </w:rPr>
        <w:t>toutes les personnes de plus de 18 ans souffrant de comorbidité(s)</w:t>
      </w:r>
      <w:r w:rsidRPr="00D24B2F">
        <w:t xml:space="preserve">, </w:t>
      </w:r>
      <w:r w:rsidR="009844DD" w:rsidRPr="00D24B2F">
        <w:t xml:space="preserve">telles que </w:t>
      </w:r>
      <w:r w:rsidRPr="00D24B2F">
        <w:t xml:space="preserve">définies par la Haute Autorité de </w:t>
      </w:r>
      <w:r w:rsidR="009844DD" w:rsidRPr="00D24B2F">
        <w:t>s</w:t>
      </w:r>
      <w:r w:rsidRPr="00D24B2F">
        <w:t xml:space="preserve">anté, auront </w:t>
      </w:r>
      <w:r w:rsidR="001C1194">
        <w:t xml:space="preserve">ainsi </w:t>
      </w:r>
      <w:r w:rsidRPr="00D24B2F">
        <w:t>la possibilité de se faire vacciner</w:t>
      </w:r>
      <w:r w:rsidR="009B38E5">
        <w:t>.</w:t>
      </w:r>
      <w:r w:rsidRPr="00D24B2F">
        <w:t xml:space="preserve"> </w:t>
      </w:r>
    </w:p>
    <w:p w14:paraId="69A85833" w14:textId="4E41659C" w:rsidR="00E427C5" w:rsidRPr="00D24B2F" w:rsidRDefault="00E427C5" w:rsidP="00E427C5">
      <w:pPr>
        <w:jc w:val="both"/>
      </w:pPr>
      <w:r w:rsidRPr="00D24B2F">
        <w:t xml:space="preserve">Près de 4 millions de personnes sont ainsi concernées. </w:t>
      </w:r>
      <w:r w:rsidR="002F68AF" w:rsidRPr="00D24B2F">
        <w:t>Cet</w:t>
      </w:r>
      <w:r w:rsidRPr="00D24B2F">
        <w:t xml:space="preserve"> élargissement de la cible vaccinale </w:t>
      </w:r>
      <w:r w:rsidR="009844DD" w:rsidRPr="00D24B2F">
        <w:t xml:space="preserve">s’inscrit dans la continuité de la stratégie mise en œuvre depuis le début de la campagne </w:t>
      </w:r>
      <w:r w:rsidR="001C1194">
        <w:t>consistant</w:t>
      </w:r>
      <w:r w:rsidR="009844DD" w:rsidRPr="00D24B2F">
        <w:t xml:space="preserve"> à </w:t>
      </w:r>
      <w:r w:rsidRPr="00D24B2F">
        <w:t xml:space="preserve">prendre en compte </w:t>
      </w:r>
      <w:r w:rsidR="001C1194">
        <w:t>dans la priorisation des publics éligibles les</w:t>
      </w:r>
      <w:r w:rsidR="001C1194" w:rsidRPr="00D24B2F">
        <w:t xml:space="preserve"> </w:t>
      </w:r>
      <w:r w:rsidRPr="00D24B2F">
        <w:t xml:space="preserve">facteurs de risque individuel, au-delà du critère d’âge qui </w:t>
      </w:r>
      <w:r w:rsidR="001C1194">
        <w:t>reste</w:t>
      </w:r>
      <w:r w:rsidR="001C1194" w:rsidRPr="00D24B2F">
        <w:t xml:space="preserve"> </w:t>
      </w:r>
      <w:r w:rsidRPr="00D24B2F">
        <w:t>prépondérant</w:t>
      </w:r>
      <w:r w:rsidR="001C1194">
        <w:t xml:space="preserve"> dans le développement de formes graves de la maladie</w:t>
      </w:r>
      <w:r w:rsidRPr="00D24B2F">
        <w:t>.</w:t>
      </w:r>
    </w:p>
    <w:p w14:paraId="7A4C85F3" w14:textId="5BCCBC96" w:rsidR="00E427C5" w:rsidRPr="00D24B2F" w:rsidRDefault="00E427C5" w:rsidP="00E427C5">
      <w:pPr>
        <w:jc w:val="both"/>
      </w:pPr>
      <w:r w:rsidRPr="00D24B2F">
        <w:lastRenderedPageBreak/>
        <w:t xml:space="preserve">Les personnes de 18 à 49 ans qui souffrent </w:t>
      </w:r>
      <w:r w:rsidR="001C1194">
        <w:t>d’une ou de plusieurs</w:t>
      </w:r>
      <w:r w:rsidR="001C1194" w:rsidRPr="00D24B2F">
        <w:t xml:space="preserve"> </w:t>
      </w:r>
      <w:r w:rsidRPr="00D24B2F">
        <w:t xml:space="preserve">comorbidités pourront donc désormais prendre rendez-vous en centre de vaccination </w:t>
      </w:r>
      <w:r w:rsidR="00B22A1E" w:rsidRPr="00D24B2F">
        <w:t>selon les modalités habituelles</w:t>
      </w:r>
      <w:r w:rsidR="009B38E5">
        <w:t xml:space="preserve"> déjà en vigueur pour les personnes âgées de plus de 50 ans présentant ces comorbidités</w:t>
      </w:r>
      <w:r w:rsidR="00B22A1E" w:rsidRPr="00D24B2F">
        <w:t xml:space="preserve">. Sur déclaration de leur(s) comorbidité(s), ils pourront être vaccinés avec les vaccins </w:t>
      </w:r>
      <w:r w:rsidRPr="00D24B2F">
        <w:t>Pfizer-BioNTech ou Moderna</w:t>
      </w:r>
      <w:r w:rsidR="009B38E5">
        <w:t>, sans nécessité d’une prescription médicale.</w:t>
      </w:r>
    </w:p>
    <w:p w14:paraId="64BBAAEB" w14:textId="42DE033A" w:rsidR="00E427C5" w:rsidRDefault="00D7160D" w:rsidP="009B38E5">
      <w:pPr>
        <w:spacing w:after="0"/>
        <w:jc w:val="both"/>
      </w:pPr>
      <w:hyperlink r:id="rId7" w:history="1">
        <w:r w:rsidR="00E427C5" w:rsidRPr="00D24B2F">
          <w:rPr>
            <w:rStyle w:val="Lienhypertexte"/>
          </w:rPr>
          <w:t>La liste des comorbidités</w:t>
        </w:r>
      </w:hyperlink>
      <w:r w:rsidR="00E427C5" w:rsidRPr="00D24B2F">
        <w:t xml:space="preserve"> associées à un risque de forme grave de Covid-19, définie par la Haute Autorité de </w:t>
      </w:r>
      <w:r w:rsidR="009844DD" w:rsidRPr="00D24B2F">
        <w:t>s</w:t>
      </w:r>
      <w:r w:rsidR="00E427C5" w:rsidRPr="00D24B2F">
        <w:t xml:space="preserve">anté est </w:t>
      </w:r>
      <w:r w:rsidR="009844DD" w:rsidRPr="00D24B2F">
        <w:t xml:space="preserve">toujours </w:t>
      </w:r>
      <w:r w:rsidR="00E427C5" w:rsidRPr="00D24B2F">
        <w:t>la suivante :</w:t>
      </w:r>
    </w:p>
    <w:p w14:paraId="5A2E8DAD" w14:textId="77777777" w:rsidR="009B38E5" w:rsidRPr="00D24B2F" w:rsidRDefault="009B38E5" w:rsidP="009B38E5">
      <w:pPr>
        <w:spacing w:after="0"/>
        <w:jc w:val="both"/>
      </w:pPr>
    </w:p>
    <w:p w14:paraId="5CB35E36" w14:textId="6655C2AE" w:rsidR="00D7160D" w:rsidRPr="00D24B2F" w:rsidRDefault="00E427C5" w:rsidP="009B38E5">
      <w:pPr>
        <w:spacing w:after="0"/>
        <w:jc w:val="both"/>
      </w:pPr>
      <w:r w:rsidRPr="00D24B2F">
        <w:t xml:space="preserve">•  Pathologies cardio-vasculaires : </w:t>
      </w:r>
    </w:p>
    <w:p w14:paraId="1BA5E55B" w14:textId="77777777" w:rsidR="00E427C5" w:rsidRPr="00D24B2F" w:rsidRDefault="00E427C5" w:rsidP="009B38E5">
      <w:pPr>
        <w:spacing w:after="0"/>
        <w:ind w:left="708"/>
        <w:jc w:val="both"/>
      </w:pPr>
      <w:r w:rsidRPr="00D24B2F">
        <w:t>-  hypertension artérielle compliquée (notamment complications cardiaques, rénales et vasculo-cérébrales) ;</w:t>
      </w:r>
    </w:p>
    <w:p w14:paraId="465C93F9" w14:textId="77777777" w:rsidR="00E427C5" w:rsidRPr="00D24B2F" w:rsidRDefault="00E427C5" w:rsidP="009B38E5">
      <w:pPr>
        <w:spacing w:after="0"/>
        <w:ind w:left="708"/>
        <w:jc w:val="both"/>
      </w:pPr>
      <w:r w:rsidRPr="00D24B2F">
        <w:t>-  antécédent d’accident vasculaire cérébral</w:t>
      </w:r>
      <w:r w:rsidR="009844DD" w:rsidRPr="00D24B2F">
        <w:t> ;</w:t>
      </w:r>
    </w:p>
    <w:p w14:paraId="68A58EF9" w14:textId="77777777" w:rsidR="00E427C5" w:rsidRPr="00D24B2F" w:rsidRDefault="00E427C5" w:rsidP="009B38E5">
      <w:pPr>
        <w:spacing w:after="0"/>
        <w:ind w:left="708"/>
        <w:jc w:val="both"/>
      </w:pPr>
      <w:r w:rsidRPr="00D24B2F">
        <w:t>-  antécédent de chirurgie cardiaque</w:t>
      </w:r>
      <w:r w:rsidR="009844DD" w:rsidRPr="00D24B2F">
        <w:t> ;</w:t>
      </w:r>
    </w:p>
    <w:p w14:paraId="326AC64B" w14:textId="77777777" w:rsidR="00E427C5" w:rsidRPr="00D24B2F" w:rsidRDefault="00E427C5" w:rsidP="009B38E5">
      <w:pPr>
        <w:spacing w:after="0"/>
        <w:ind w:left="708"/>
        <w:jc w:val="both"/>
      </w:pPr>
      <w:r w:rsidRPr="00D24B2F">
        <w:t>-  insuffisance cardiaque ;</w:t>
      </w:r>
    </w:p>
    <w:p w14:paraId="4545EAEF" w14:textId="26F8363E" w:rsidR="00E427C5" w:rsidRDefault="00E427C5" w:rsidP="009B38E5">
      <w:pPr>
        <w:spacing w:after="0"/>
        <w:ind w:left="708"/>
        <w:jc w:val="both"/>
      </w:pPr>
      <w:r w:rsidRPr="00D24B2F">
        <w:t>-  antécédents de coronaropathie.</w:t>
      </w:r>
    </w:p>
    <w:p w14:paraId="1B45C271" w14:textId="77777777" w:rsidR="00D7160D" w:rsidRPr="00D24B2F" w:rsidRDefault="00D7160D" w:rsidP="009B38E5">
      <w:pPr>
        <w:spacing w:after="0"/>
        <w:ind w:left="708"/>
        <w:jc w:val="both"/>
      </w:pPr>
    </w:p>
    <w:p w14:paraId="2E3C3EFF" w14:textId="28EAE549" w:rsidR="00D7160D" w:rsidRPr="00D24B2F" w:rsidRDefault="00E427C5" w:rsidP="009B38E5">
      <w:pPr>
        <w:spacing w:after="0"/>
        <w:jc w:val="both"/>
      </w:pPr>
      <w:r w:rsidRPr="00D24B2F">
        <w:t>•  Diabète de types 1 et 2 ;</w:t>
      </w:r>
    </w:p>
    <w:p w14:paraId="4EFB6D4E" w14:textId="2A8AE5E2" w:rsidR="00E427C5" w:rsidRPr="00D24B2F" w:rsidRDefault="00D7160D" w:rsidP="009B38E5">
      <w:pPr>
        <w:spacing w:after="0"/>
        <w:jc w:val="both"/>
      </w:pPr>
      <w:r>
        <w:t xml:space="preserve">• </w:t>
      </w:r>
      <w:r w:rsidR="00E427C5" w:rsidRPr="00D24B2F">
        <w:t>Pathologies respiratoires chroniques susceptibles de décompenser lors d’une infection virale, notamment :</w:t>
      </w:r>
    </w:p>
    <w:p w14:paraId="1E9D2E44" w14:textId="77777777" w:rsidR="00E427C5" w:rsidRPr="00D24B2F" w:rsidRDefault="00E427C5" w:rsidP="009B38E5">
      <w:pPr>
        <w:spacing w:after="0"/>
        <w:ind w:left="708"/>
        <w:jc w:val="both"/>
      </w:pPr>
      <w:r w:rsidRPr="00D24B2F">
        <w:t>-  broncho pneumopathie obstructive,</w:t>
      </w:r>
    </w:p>
    <w:p w14:paraId="0F04B3E2" w14:textId="77777777" w:rsidR="00E427C5" w:rsidRPr="00D24B2F" w:rsidRDefault="00E427C5" w:rsidP="009B38E5">
      <w:pPr>
        <w:spacing w:after="0"/>
        <w:ind w:left="708"/>
        <w:jc w:val="both"/>
      </w:pPr>
      <w:r w:rsidRPr="00D24B2F">
        <w:t>-  insuffisance respiratoire,</w:t>
      </w:r>
    </w:p>
    <w:p w14:paraId="42759C06" w14:textId="77777777" w:rsidR="00E427C5" w:rsidRPr="00D24B2F" w:rsidRDefault="00E427C5" w:rsidP="009B38E5">
      <w:pPr>
        <w:spacing w:after="0"/>
        <w:ind w:left="708"/>
        <w:jc w:val="both"/>
      </w:pPr>
      <w:r w:rsidRPr="00D24B2F">
        <w:t>-  asthme sévère,</w:t>
      </w:r>
    </w:p>
    <w:p w14:paraId="34EF717D" w14:textId="77777777" w:rsidR="00E427C5" w:rsidRPr="00D24B2F" w:rsidRDefault="00E427C5" w:rsidP="009B38E5">
      <w:pPr>
        <w:spacing w:after="0"/>
        <w:ind w:left="708"/>
        <w:jc w:val="both"/>
      </w:pPr>
      <w:r w:rsidRPr="00D24B2F">
        <w:t>-  fibrose pulmonaire,</w:t>
      </w:r>
    </w:p>
    <w:p w14:paraId="60E1A40C" w14:textId="2DA1D5FD" w:rsidR="00E427C5" w:rsidRDefault="00E427C5" w:rsidP="009B38E5">
      <w:pPr>
        <w:spacing w:after="0"/>
        <w:ind w:left="708"/>
        <w:jc w:val="both"/>
      </w:pPr>
      <w:r w:rsidRPr="00D24B2F">
        <w:t>-  syndrome d’apnées du sommeil.</w:t>
      </w:r>
    </w:p>
    <w:p w14:paraId="349B0EF2" w14:textId="77777777" w:rsidR="00D7160D" w:rsidRPr="00D24B2F" w:rsidRDefault="00D7160D" w:rsidP="009B38E5">
      <w:pPr>
        <w:spacing w:after="0"/>
        <w:ind w:left="708"/>
        <w:jc w:val="both"/>
      </w:pPr>
      <w:bookmarkStart w:id="0" w:name="_GoBack"/>
      <w:bookmarkEnd w:id="0"/>
    </w:p>
    <w:p w14:paraId="4B5F3FD1" w14:textId="77777777" w:rsidR="00E427C5" w:rsidRPr="00D24B2F" w:rsidRDefault="00E427C5" w:rsidP="009B38E5">
      <w:pPr>
        <w:spacing w:after="0"/>
        <w:jc w:val="both"/>
      </w:pPr>
      <w:r w:rsidRPr="00D24B2F">
        <w:t>•  Insuffisance rénale chronique ;</w:t>
      </w:r>
    </w:p>
    <w:p w14:paraId="20201E81" w14:textId="77777777" w:rsidR="00E427C5" w:rsidRPr="00D24B2F" w:rsidRDefault="00E427C5" w:rsidP="009B38E5">
      <w:pPr>
        <w:spacing w:after="0"/>
        <w:jc w:val="both"/>
      </w:pPr>
      <w:r w:rsidRPr="00D24B2F">
        <w:t>•  Obésité avec indice de masse corporelle ≥30 ;</w:t>
      </w:r>
    </w:p>
    <w:p w14:paraId="0B3EEBB8" w14:textId="77777777" w:rsidR="00E427C5" w:rsidRPr="00D24B2F" w:rsidRDefault="00E427C5" w:rsidP="009B38E5">
      <w:pPr>
        <w:spacing w:after="0"/>
        <w:jc w:val="both"/>
      </w:pPr>
      <w:r w:rsidRPr="00D24B2F">
        <w:t>•  Cancer ou hémopathie maligne ;</w:t>
      </w:r>
    </w:p>
    <w:p w14:paraId="07E5B5CF" w14:textId="77777777" w:rsidR="00E427C5" w:rsidRPr="00D24B2F" w:rsidRDefault="00E427C5" w:rsidP="009B38E5">
      <w:pPr>
        <w:spacing w:after="0"/>
        <w:jc w:val="both"/>
      </w:pPr>
      <w:r w:rsidRPr="00D24B2F">
        <w:t>•  Maladies hépatiques chroniques, en particulier la cirrhose ;</w:t>
      </w:r>
    </w:p>
    <w:p w14:paraId="127C7003" w14:textId="77777777" w:rsidR="00E427C5" w:rsidRPr="00D24B2F" w:rsidRDefault="00E427C5" w:rsidP="009B38E5">
      <w:pPr>
        <w:spacing w:after="0"/>
        <w:jc w:val="both"/>
      </w:pPr>
      <w:r w:rsidRPr="00D24B2F">
        <w:lastRenderedPageBreak/>
        <w:t>•  Immunodépression congénitale ou acquise ;</w:t>
      </w:r>
    </w:p>
    <w:p w14:paraId="4AE1E434" w14:textId="77777777" w:rsidR="00E427C5" w:rsidRPr="00D24B2F" w:rsidRDefault="00E427C5" w:rsidP="009B38E5">
      <w:pPr>
        <w:spacing w:after="0"/>
        <w:jc w:val="both"/>
      </w:pPr>
      <w:r w:rsidRPr="00D24B2F">
        <w:t>•  Syndrome drépanocytaire majeur ou antécédent de splénectomie ;</w:t>
      </w:r>
    </w:p>
    <w:p w14:paraId="56FC72CF" w14:textId="77777777" w:rsidR="00E427C5" w:rsidRPr="00D24B2F" w:rsidRDefault="00E427C5" w:rsidP="009B38E5">
      <w:pPr>
        <w:spacing w:after="0"/>
        <w:jc w:val="both"/>
      </w:pPr>
      <w:r w:rsidRPr="00D24B2F">
        <w:t>•  Pathologies neurologiques :</w:t>
      </w:r>
    </w:p>
    <w:p w14:paraId="2DCD59D3" w14:textId="77777777" w:rsidR="00E427C5" w:rsidRPr="00D24B2F" w:rsidRDefault="00E427C5" w:rsidP="009B38E5">
      <w:pPr>
        <w:spacing w:after="0"/>
        <w:ind w:left="708"/>
        <w:jc w:val="both"/>
      </w:pPr>
      <w:r w:rsidRPr="00D24B2F">
        <w:t>-  maladies du motoneurone,</w:t>
      </w:r>
    </w:p>
    <w:p w14:paraId="39FBB956" w14:textId="77777777" w:rsidR="00E427C5" w:rsidRPr="00D24B2F" w:rsidRDefault="00E427C5" w:rsidP="009B38E5">
      <w:pPr>
        <w:spacing w:after="0"/>
        <w:ind w:left="708"/>
        <w:jc w:val="both"/>
      </w:pPr>
      <w:r w:rsidRPr="00D24B2F">
        <w:t>-  myasthénie grave,</w:t>
      </w:r>
    </w:p>
    <w:p w14:paraId="0901EF3D" w14:textId="77777777" w:rsidR="00E427C5" w:rsidRPr="00D24B2F" w:rsidRDefault="00E427C5" w:rsidP="009B38E5">
      <w:pPr>
        <w:spacing w:after="0"/>
        <w:ind w:left="708"/>
        <w:jc w:val="both"/>
      </w:pPr>
      <w:r w:rsidRPr="00D24B2F">
        <w:t>-  sclérose en plaques,</w:t>
      </w:r>
    </w:p>
    <w:p w14:paraId="2A43A637" w14:textId="77777777" w:rsidR="00E427C5" w:rsidRPr="00D24B2F" w:rsidRDefault="00E427C5" w:rsidP="009B38E5">
      <w:pPr>
        <w:spacing w:after="0"/>
        <w:ind w:left="708"/>
        <w:jc w:val="both"/>
      </w:pPr>
      <w:r w:rsidRPr="00D24B2F">
        <w:t>-  maladie de Parkinson,</w:t>
      </w:r>
    </w:p>
    <w:p w14:paraId="004C6885" w14:textId="77777777" w:rsidR="00E427C5" w:rsidRPr="00D24B2F" w:rsidRDefault="00E427C5" w:rsidP="009B38E5">
      <w:pPr>
        <w:spacing w:after="0"/>
        <w:ind w:left="708"/>
        <w:jc w:val="both"/>
      </w:pPr>
      <w:r w:rsidRPr="00D24B2F">
        <w:t>-  paralysie cérébrale,</w:t>
      </w:r>
    </w:p>
    <w:p w14:paraId="0E52764F" w14:textId="77777777" w:rsidR="00E427C5" w:rsidRPr="00D24B2F" w:rsidRDefault="00E427C5" w:rsidP="009B38E5">
      <w:pPr>
        <w:spacing w:after="0"/>
        <w:ind w:left="708"/>
        <w:jc w:val="both"/>
      </w:pPr>
      <w:r w:rsidRPr="00D24B2F">
        <w:t>-  quadriplégie ou hémiplégie,</w:t>
      </w:r>
    </w:p>
    <w:p w14:paraId="0C916CD3" w14:textId="77777777" w:rsidR="00E427C5" w:rsidRPr="00D24B2F" w:rsidRDefault="00E427C5" w:rsidP="009B38E5">
      <w:pPr>
        <w:spacing w:after="0"/>
        <w:ind w:left="708"/>
        <w:jc w:val="both"/>
      </w:pPr>
      <w:r w:rsidRPr="00D24B2F">
        <w:t>-  tumeur maligne primitive cérébrale,</w:t>
      </w:r>
    </w:p>
    <w:p w14:paraId="42089E5E" w14:textId="5C33E97A" w:rsidR="00E427C5" w:rsidRDefault="00E427C5" w:rsidP="009B38E5">
      <w:pPr>
        <w:spacing w:after="0"/>
        <w:ind w:left="708"/>
        <w:jc w:val="both"/>
      </w:pPr>
      <w:r w:rsidRPr="00D24B2F">
        <w:t>-  maladie cérébelleuse progressive.</w:t>
      </w:r>
    </w:p>
    <w:p w14:paraId="4E90E042" w14:textId="77777777" w:rsidR="00D7160D" w:rsidRPr="00D24B2F" w:rsidRDefault="00D7160D" w:rsidP="009B38E5">
      <w:pPr>
        <w:spacing w:after="0"/>
        <w:ind w:left="708"/>
        <w:jc w:val="both"/>
      </w:pPr>
    </w:p>
    <w:p w14:paraId="5FB065A1" w14:textId="77777777" w:rsidR="00E427C5" w:rsidRPr="00D24B2F" w:rsidRDefault="00E427C5" w:rsidP="009B38E5">
      <w:pPr>
        <w:spacing w:after="0"/>
        <w:jc w:val="both"/>
      </w:pPr>
      <w:r w:rsidRPr="00D24B2F">
        <w:t>•  Troubles psychiatriques ;</w:t>
      </w:r>
    </w:p>
    <w:p w14:paraId="0D37A99B" w14:textId="46FE1C3C" w:rsidR="00B22A1E" w:rsidRDefault="00E427C5" w:rsidP="009B38E5">
      <w:pPr>
        <w:spacing w:after="0"/>
        <w:jc w:val="both"/>
      </w:pPr>
      <w:r w:rsidRPr="00D24B2F">
        <w:t>•  Démence.</w:t>
      </w:r>
    </w:p>
    <w:p w14:paraId="1D8E0357" w14:textId="77777777" w:rsidR="009B38E5" w:rsidRPr="00D24B2F" w:rsidRDefault="009B38E5" w:rsidP="009B38E5">
      <w:pPr>
        <w:spacing w:after="0"/>
        <w:jc w:val="both"/>
      </w:pPr>
    </w:p>
    <w:p w14:paraId="2B726A2A" w14:textId="77777777" w:rsidR="00B22A1E" w:rsidRPr="00D24B2F" w:rsidRDefault="00B22A1E" w:rsidP="00B22A1E">
      <w:pPr>
        <w:jc w:val="both"/>
        <w:rPr>
          <w:b/>
          <w:color w:val="FF0000"/>
        </w:rPr>
      </w:pPr>
      <w:r w:rsidRPr="00D24B2F">
        <w:rPr>
          <w:b/>
        </w:rPr>
        <w:t>Pour rappel, la prise de rendez-vous est possible :</w:t>
      </w:r>
    </w:p>
    <w:p w14:paraId="5F5F9257" w14:textId="77777777" w:rsidR="00B22A1E" w:rsidRPr="00D24B2F" w:rsidRDefault="00B22A1E" w:rsidP="00B22A1E">
      <w:pPr>
        <w:pStyle w:val="Paragraphedeliste"/>
        <w:numPr>
          <w:ilvl w:val="0"/>
          <w:numId w:val="2"/>
        </w:numPr>
        <w:spacing w:line="252" w:lineRule="auto"/>
        <w:jc w:val="both"/>
      </w:pPr>
      <w:r w:rsidRPr="00D24B2F">
        <w:t xml:space="preserve">Via le site internet </w:t>
      </w:r>
      <w:hyperlink r:id="rId8" w:history="1">
        <w:r w:rsidRPr="00D24B2F">
          <w:rPr>
            <w:rStyle w:val="Lienhypertexte"/>
          </w:rPr>
          <w:t>https://www.sante.fr/</w:t>
        </w:r>
      </w:hyperlink>
      <w:r w:rsidRPr="00D24B2F">
        <w:t xml:space="preserve"> ;</w:t>
      </w:r>
    </w:p>
    <w:p w14:paraId="707DFF93" w14:textId="77777777" w:rsidR="00B22A1E" w:rsidRPr="00D24B2F" w:rsidRDefault="00B22A1E" w:rsidP="00B22A1E">
      <w:pPr>
        <w:pStyle w:val="Paragraphedeliste"/>
        <w:numPr>
          <w:ilvl w:val="0"/>
          <w:numId w:val="2"/>
        </w:numPr>
        <w:spacing w:line="252" w:lineRule="auto"/>
        <w:jc w:val="both"/>
      </w:pPr>
      <w:r w:rsidRPr="00D24B2F">
        <w:t xml:space="preserve">Via les dispositifs locaux mis à disposition pour aider à la prise de rendez-vous ; </w:t>
      </w:r>
    </w:p>
    <w:p w14:paraId="2CC2A0CA" w14:textId="77777777" w:rsidR="00B22A1E" w:rsidRPr="00D24B2F" w:rsidRDefault="00B22A1E" w:rsidP="00B22A1E">
      <w:pPr>
        <w:pStyle w:val="Paragraphedeliste"/>
        <w:numPr>
          <w:ilvl w:val="0"/>
          <w:numId w:val="2"/>
        </w:numPr>
        <w:spacing w:line="252" w:lineRule="auto"/>
        <w:jc w:val="both"/>
      </w:pPr>
      <w:r w:rsidRPr="00D24B2F">
        <w:t>En cas de difficulté, via le numéro vert national (0 800 009 110) qui permet d’être redirigé vers le standard téléphonique d’un centre ou d’obtenir un accompagnement à la prise de rendez-vous.</w:t>
      </w:r>
    </w:p>
    <w:p w14:paraId="419F3EEC" w14:textId="77777777" w:rsidR="00D24B2F" w:rsidRPr="00D24B2F" w:rsidRDefault="00D24B2F" w:rsidP="00D24B2F">
      <w:pPr>
        <w:pStyle w:val="Paragraphedeliste"/>
        <w:spacing w:line="252" w:lineRule="auto"/>
        <w:jc w:val="both"/>
      </w:pPr>
    </w:p>
    <w:p w14:paraId="153DBFE6" w14:textId="77777777" w:rsidR="00B22A1E" w:rsidRPr="00D24B2F" w:rsidRDefault="00B22A1E" w:rsidP="00B22A1E">
      <w:pPr>
        <w:jc w:val="both"/>
        <w:rPr>
          <w:b/>
        </w:rPr>
      </w:pPr>
      <w:r w:rsidRPr="00D24B2F">
        <w:rPr>
          <w:b/>
        </w:rPr>
        <w:t>Pour plus d’informations :</w:t>
      </w:r>
    </w:p>
    <w:p w14:paraId="7CF79E10" w14:textId="77777777" w:rsidR="00D24B2F" w:rsidRPr="00A57C18" w:rsidRDefault="00B22A1E" w:rsidP="00A57C18">
      <w:pPr>
        <w:jc w:val="both"/>
      </w:pPr>
      <w:r w:rsidRPr="00D24B2F">
        <w:t xml:space="preserve">Des précisions sur la stratégie vaccinale et les publics prioritaires sont disponibles sur le </w:t>
      </w:r>
      <w:hyperlink r:id="rId9" w:history="1">
        <w:r w:rsidRPr="00D24B2F">
          <w:rPr>
            <w:rStyle w:val="Lienhypertexte"/>
          </w:rPr>
          <w:t>site du ministère des Solidarités et de la Santé.</w:t>
        </w:r>
      </w:hyperlink>
      <w:r w:rsidRPr="00D24B2F">
        <w:t xml:space="preserve"> </w:t>
      </w:r>
    </w:p>
    <w:p w14:paraId="4277BEE7" w14:textId="77777777" w:rsidR="00E427C5" w:rsidRPr="00D24B2F" w:rsidRDefault="00270FAA">
      <w:pPr>
        <w:rPr>
          <w:b/>
        </w:rPr>
      </w:pPr>
      <w:r w:rsidRPr="00D24B2F">
        <w:rPr>
          <w:b/>
        </w:rPr>
        <w:t xml:space="preserve">Contact presse : </w:t>
      </w:r>
    </w:p>
    <w:p w14:paraId="06E37DC3" w14:textId="77777777" w:rsidR="00E427C5" w:rsidRPr="00D24B2F" w:rsidRDefault="00E427C5" w:rsidP="00D24B2F">
      <w:pPr>
        <w:contextualSpacing/>
      </w:pPr>
      <w:r w:rsidRPr="00D24B2F">
        <w:lastRenderedPageBreak/>
        <w:t xml:space="preserve">Direction générale de la Santé </w:t>
      </w:r>
    </w:p>
    <w:p w14:paraId="605C4D26" w14:textId="77777777" w:rsidR="00E427C5" w:rsidRPr="00D24B2F" w:rsidRDefault="00E427C5" w:rsidP="00D24B2F">
      <w:pPr>
        <w:contextualSpacing/>
      </w:pPr>
      <w:r w:rsidRPr="00D24B2F">
        <w:t>01 40 56 84 00</w:t>
      </w:r>
    </w:p>
    <w:p w14:paraId="50088432" w14:textId="77777777" w:rsidR="00E427C5" w:rsidRPr="00D24B2F" w:rsidRDefault="00270FAA" w:rsidP="00D24B2F">
      <w:pPr>
        <w:contextualSpacing/>
      </w:pPr>
      <w:r w:rsidRPr="00D24B2F">
        <w:t xml:space="preserve">Mél : </w:t>
      </w:r>
      <w:hyperlink r:id="rId10" w:history="1">
        <w:r w:rsidR="00E427C5" w:rsidRPr="00D24B2F">
          <w:rPr>
            <w:rStyle w:val="Lienhypertexte"/>
          </w:rPr>
          <w:t>presse-dgs@sante.gouv.fr</w:t>
        </w:r>
      </w:hyperlink>
    </w:p>
    <w:p w14:paraId="71C44063" w14:textId="77777777" w:rsidR="0010065D" w:rsidRDefault="0010065D"/>
    <w:sectPr w:rsidR="0010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13D0"/>
    <w:multiLevelType w:val="hybridMultilevel"/>
    <w:tmpl w:val="717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AA"/>
    <w:rsid w:val="0010065D"/>
    <w:rsid w:val="001C1194"/>
    <w:rsid w:val="0027037B"/>
    <w:rsid w:val="00270FAA"/>
    <w:rsid w:val="002F68AF"/>
    <w:rsid w:val="009844DD"/>
    <w:rsid w:val="009B38E5"/>
    <w:rsid w:val="00A57C18"/>
    <w:rsid w:val="00A84F31"/>
    <w:rsid w:val="00B22A1E"/>
    <w:rsid w:val="00D24B2F"/>
    <w:rsid w:val="00D7160D"/>
    <w:rsid w:val="00E427C5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BC4C"/>
  <w15:chartTrackingRefBased/>
  <w15:docId w15:val="{EF989C3A-C24F-4B79-BDC1-BAF1F965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27C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427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27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27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27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27C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427C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7C5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aliases w:val="Paragraphe de liste du rapport Car,Colorful List - Accent 11 Car,Bullet 1 Car,List Paragrap Car,Colorful List - Accent 12 Car,Bullet Styl Car,Bullet Car,No Spacing11 Car,L Car,Párrafo de lista Car,Recommendation Car,Maire Car"/>
    <w:basedOn w:val="Policepardfaut"/>
    <w:link w:val="Paragraphedeliste"/>
    <w:uiPriority w:val="34"/>
    <w:locked/>
    <w:rsid w:val="00B22A1E"/>
    <w:rPr>
      <w:rFonts w:ascii="Calibri" w:hAnsi="Calibri" w:cs="Calibri"/>
    </w:rPr>
  </w:style>
  <w:style w:type="paragraph" w:styleId="Paragraphedeliste">
    <w:name w:val="List Paragraph"/>
    <w:aliases w:val="Paragraphe de liste du rapport,Colorful List - Accent 11,Bullet 1,List Paragrap,Colorful List - Accent 12,Bullet Styl,Bullet,No Spacing11,L,Párrafo de lista,Recommendation,Recommendati,Recommendatio,List Paragraph3,List Paragra,Maire"/>
    <w:basedOn w:val="Normal"/>
    <w:link w:val="ParagraphedelisteCar"/>
    <w:uiPriority w:val="34"/>
    <w:qFormat/>
    <w:rsid w:val="00B22A1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idarites-sante.gouv.fr/grands-dossiers/vaccin-covid-19/publics-prioritaires-vaccin-covid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resse-dgs@sant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idarites-sante.gouv.fr/grands-dossiers/vaccin-covid-19/publics-prioritaires-vaccin-covid-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JAFFRE, Pauline (DGS/MICOM)</dc:creator>
  <cp:keywords/>
  <dc:description/>
  <cp:lastModifiedBy>JAFFRE, Pauline (DGS/MICOM)</cp:lastModifiedBy>
  <cp:revision>2</cp:revision>
  <dcterms:created xsi:type="dcterms:W3CDTF">2021-04-30T14:46:00Z</dcterms:created>
  <dcterms:modified xsi:type="dcterms:W3CDTF">2021-04-30T14:46:00Z</dcterms:modified>
</cp:coreProperties>
</file>